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58391E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Default="0058391E" w:rsidP="0058391E"/>
        </w:tc>
      </w:tr>
    </w:tbl>
    <w:p w14:paraId="1E90C0A8" w14:textId="787B1D4E" w:rsidR="003E4326" w:rsidRPr="003E4326" w:rsidRDefault="005F323A" w:rsidP="003E4326">
      <w:pPr>
        <w:pStyle w:val="Default"/>
        <w:rPr>
          <w:rFonts w:ascii="Garamond" w:hAnsi="Garamond" w:cs="Garamond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3E4326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36"/>
          <w:szCs w:val="36"/>
        </w:rPr>
      </w:pPr>
      <w:r w:rsidRPr="003E4326">
        <w:rPr>
          <w:rFonts w:ascii="Garamond" w:hAnsi="Garamond" w:cs="Garamond"/>
          <w:b/>
          <w:bCs/>
          <w:color w:val="000000"/>
          <w:sz w:val="36"/>
          <w:szCs w:val="36"/>
        </w:rPr>
        <w:t>UNIVERSITÀ DEGLI STUDI DI NAPOLI</w:t>
      </w:r>
    </w:p>
    <w:p w14:paraId="355583B8" w14:textId="14A89FD3" w:rsidR="003E4326" w:rsidRPr="003E4326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36"/>
          <w:szCs w:val="36"/>
        </w:rPr>
      </w:pPr>
      <w:r w:rsidRPr="003E4326">
        <w:rPr>
          <w:rFonts w:ascii="Garamond" w:hAnsi="Garamond" w:cs="Garamond"/>
          <w:b/>
          <w:bCs/>
          <w:color w:val="000000"/>
          <w:sz w:val="36"/>
          <w:szCs w:val="36"/>
        </w:rPr>
        <w:t>FEDERICO II</w:t>
      </w:r>
    </w:p>
    <w:p w14:paraId="2CAAEB2F" w14:textId="6E5C3AC8" w:rsidR="003E4326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color w:val="000000"/>
          <w:sz w:val="28"/>
          <w:szCs w:val="28"/>
        </w:rPr>
      </w:pPr>
      <w:r w:rsidRPr="008055E2">
        <w:rPr>
          <w:rFonts w:ascii="Garamond" w:hAnsi="Garamond" w:cs="Garamond"/>
          <w:b/>
          <w:bCs/>
          <w:color w:val="000000"/>
          <w:sz w:val="28"/>
          <w:szCs w:val="28"/>
        </w:rPr>
        <w:t>Dipartimento di Scienze della Terra, dell’Ambiente e delle Risorse</w:t>
      </w:r>
    </w:p>
    <w:p w14:paraId="6347EB76" w14:textId="4DED6ED2" w:rsidR="00C33F00" w:rsidRPr="00816B93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816B93">
        <w:rPr>
          <w:rFonts w:ascii="Garamond" w:hAnsi="Garamond" w:cs="Garamond"/>
          <w:b/>
          <w:bCs/>
          <w:sz w:val="28"/>
          <w:szCs w:val="28"/>
        </w:rPr>
        <w:t>Determina n.</w:t>
      </w:r>
      <w:r w:rsidR="005C5360">
        <w:rPr>
          <w:rFonts w:ascii="Garamond" w:hAnsi="Garamond" w:cs="Garamond"/>
          <w:b/>
          <w:bCs/>
          <w:sz w:val="28"/>
          <w:szCs w:val="28"/>
        </w:rPr>
        <w:t>1</w:t>
      </w:r>
      <w:r w:rsidR="00BC3554">
        <w:rPr>
          <w:rFonts w:ascii="Garamond" w:hAnsi="Garamond" w:cs="Garamond"/>
          <w:b/>
          <w:bCs/>
          <w:sz w:val="28"/>
          <w:szCs w:val="28"/>
        </w:rPr>
        <w:t>91</w:t>
      </w:r>
      <w:r w:rsidR="00816B93" w:rsidRPr="00816B93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color w:val="000000"/>
          <w:sz w:val="28"/>
          <w:szCs w:val="28"/>
        </w:rPr>
      </w:pPr>
    </w:p>
    <w:tbl>
      <w:tblPr>
        <w:tblW w:w="19773" w:type="dxa"/>
        <w:tblInd w:w="-284" w:type="dxa"/>
        <w:tblLook w:val="04A0" w:firstRow="1" w:lastRow="0" w:firstColumn="1" w:lastColumn="0" w:noHBand="0" w:noVBand="1"/>
      </w:tblPr>
      <w:tblGrid>
        <w:gridCol w:w="2132"/>
        <w:gridCol w:w="7990"/>
        <w:gridCol w:w="9651"/>
      </w:tblGrid>
      <w:tr w:rsidR="00486481" w:rsidRPr="00486481" w14:paraId="5E574D6F" w14:textId="77777777" w:rsidTr="00766A39">
        <w:trPr>
          <w:gridAfter w:val="1"/>
          <w:wAfter w:w="9651" w:type="dxa"/>
          <w:trHeight w:val="761"/>
        </w:trPr>
        <w:tc>
          <w:tcPr>
            <w:tcW w:w="2132" w:type="dxa"/>
            <w:shd w:val="clear" w:color="auto" w:fill="auto"/>
          </w:tcPr>
          <w:p w14:paraId="12181ACF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i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Oggetto:</w:t>
            </w:r>
          </w:p>
        </w:tc>
        <w:tc>
          <w:tcPr>
            <w:tcW w:w="7990" w:type="dxa"/>
            <w:shd w:val="clear" w:color="auto" w:fill="auto"/>
          </w:tcPr>
          <w:p w14:paraId="41C93086" w14:textId="14C3E05F" w:rsidR="00486481" w:rsidRPr="00486481" w:rsidRDefault="00486481" w:rsidP="00B114C3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</w:pPr>
            <w:r w:rsidRP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Determina per l’affidamento diretto </w:t>
            </w:r>
            <w:r w:rsidR="00C84545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per spese di </w:t>
            </w:r>
            <w:r w:rsidR="00A31B52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acquisto </w:t>
            </w:r>
            <w:r w:rsidR="0065429C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di consumabili per laboratorio: </w:t>
            </w:r>
            <w:r w:rsidR="00CD42D2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n. 4 </w:t>
            </w:r>
            <w:r w:rsidR="0065429C" w:rsidRPr="0065429C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AG-G3347N </w:t>
            </w:r>
            <w:proofErr w:type="spellStart"/>
            <w:r w:rsidR="0065429C" w:rsidRPr="0065429C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Leit</w:t>
            </w:r>
            <w:proofErr w:type="spellEnd"/>
            <w:r w:rsidR="0065429C" w:rsidRPr="0065429C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5429C" w:rsidRPr="0065429C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Adhesive</w:t>
            </w:r>
            <w:proofErr w:type="spellEnd"/>
            <w:r w:rsidR="0065429C" w:rsidRPr="0065429C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Carbon </w:t>
            </w:r>
            <w:proofErr w:type="spellStart"/>
            <w:r w:rsidR="0065429C" w:rsidRPr="0065429C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Tabs</w:t>
            </w:r>
            <w:proofErr w:type="spellEnd"/>
            <w:r w:rsidR="0065429C" w:rsidRPr="0065429C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12mm (Pack of 100)</w:t>
            </w:r>
            <w:r w:rsidR="00CD42D2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, n. 4 </w:t>
            </w:r>
            <w:r w:rsidR="0065429C" w:rsidRPr="00CD42D2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AG-G3348N </w:t>
            </w:r>
            <w:proofErr w:type="spellStart"/>
            <w:r w:rsidR="0065429C" w:rsidRPr="00CD42D2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Leit</w:t>
            </w:r>
            <w:proofErr w:type="spellEnd"/>
            <w:r w:rsidR="0065429C" w:rsidRPr="00CD42D2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5429C" w:rsidRPr="00CD42D2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Adhesive</w:t>
            </w:r>
            <w:proofErr w:type="spellEnd"/>
            <w:r w:rsidR="0065429C" w:rsidRPr="00CD42D2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Carbon </w:t>
            </w:r>
            <w:proofErr w:type="spellStart"/>
            <w:r w:rsidR="0065429C" w:rsidRPr="00CD42D2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Tabs</w:t>
            </w:r>
            <w:proofErr w:type="spellEnd"/>
            <w:r w:rsidR="0065429C" w:rsidRPr="00CD42D2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25mm (Pack of 54) CARBON TABS</w:t>
            </w:r>
            <w:r w:rsidR="00C35B70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- </w:t>
            </w:r>
            <w:r w:rsidR="0065429C" w:rsidRPr="00C35B70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Confezione da 54 pz</w:t>
            </w:r>
            <w:r w:rsidR="00C35B70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, n. 1 di </w:t>
            </w:r>
            <w:r w:rsidR="0065429C" w:rsidRPr="0053118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AG-B7390 Gold Disc Target 57mm dia x 0.1mm </w:t>
            </w:r>
            <w:proofErr w:type="spellStart"/>
            <w:r w:rsidR="0065429C" w:rsidRPr="0053118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Coater</w:t>
            </w:r>
            <w:proofErr w:type="spellEnd"/>
            <w:r w:rsidR="0065429C" w:rsidRPr="0053118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5429C" w:rsidRPr="0053118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Type</w:t>
            </w:r>
            <w:proofErr w:type="spellEnd"/>
            <w:r w:rsidR="0065429C" w:rsidRPr="0053118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1</w:t>
            </w:r>
            <w:r w:rsidR="0053118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, n. 1 di </w:t>
            </w:r>
            <w:r w:rsidR="0065429C" w:rsidRP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AG-B7391 Gold/</w:t>
            </w:r>
            <w:proofErr w:type="spellStart"/>
            <w:r w:rsidR="0065429C" w:rsidRP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Palladium</w:t>
            </w:r>
            <w:proofErr w:type="spellEnd"/>
            <w:r w:rsidR="0065429C" w:rsidRP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Disc Target, 57mm dia x 0.1mm</w:t>
            </w:r>
            <w:r w:rsid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, n. 8 di </w:t>
            </w:r>
            <w:r w:rsidR="0065429C" w:rsidRP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AG-E429 </w:t>
            </w:r>
            <w:proofErr w:type="spellStart"/>
            <w:r w:rsidR="0065429C" w:rsidRP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Shaped</w:t>
            </w:r>
            <w:proofErr w:type="spellEnd"/>
            <w:r w:rsidR="0065429C" w:rsidRP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Carbon </w:t>
            </w:r>
            <w:proofErr w:type="spellStart"/>
            <w:r w:rsidR="0065429C" w:rsidRP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Rods</w:t>
            </w:r>
            <w:proofErr w:type="spellEnd"/>
            <w:r w:rsidR="0065429C" w:rsidRP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6mm x 55mm (Pack of 10)</w:t>
            </w:r>
            <w:r w:rsid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, n. 8 di </w:t>
            </w:r>
            <w:r w:rsidR="0065429C" w:rsidRP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AG-E441 </w:t>
            </w:r>
            <w:proofErr w:type="spellStart"/>
            <w:r w:rsidR="0065429C" w:rsidRP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Shaped</w:t>
            </w:r>
            <w:proofErr w:type="spellEnd"/>
            <w:r w:rsidR="0065429C" w:rsidRP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Carbon </w:t>
            </w:r>
            <w:proofErr w:type="spellStart"/>
            <w:r w:rsidR="0065429C" w:rsidRP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Rods</w:t>
            </w:r>
            <w:proofErr w:type="spellEnd"/>
            <w:r w:rsidR="0065429C" w:rsidRP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(55mm long) for Agar </w:t>
            </w:r>
            <w:proofErr w:type="spellStart"/>
            <w:r w:rsidR="0065429C" w:rsidRP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Coaters</w:t>
            </w:r>
            <w:proofErr w:type="spellEnd"/>
            <w:r w:rsidR="0065429C" w:rsidRP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(P </w:t>
            </w:r>
            <w:proofErr w:type="spellStart"/>
            <w:r w:rsidR="0065429C" w:rsidRP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ack</w:t>
            </w:r>
            <w:proofErr w:type="spellEnd"/>
            <w:r w:rsidR="0065429C" w:rsidRPr="00B114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of 10) </w:t>
            </w:r>
            <w:r w:rsidR="002E617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più </w:t>
            </w:r>
            <w:r w:rsidR="0065429C" w:rsidRPr="0065429C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SERVIZI TRASPORTO/SHIPPING COST</w:t>
            </w:r>
            <w:r w:rsidR="002E617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5C109F" w:rsidRP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–</w:t>
            </w:r>
            <w:r w:rsidR="002B2BF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D05D2F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Preventivo</w:t>
            </w:r>
            <w:r w:rsidR="002B2BF8" w:rsidRPr="002B2BF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3B7EC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ASSING </w:t>
            </w:r>
            <w:r w:rsidR="00A80281" w:rsidRPr="00A802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23_906.OF_0188</w:t>
            </w:r>
            <w:r w:rsidR="00CB581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CE4BA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del </w:t>
            </w:r>
            <w:r w:rsidR="00A802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25/10</w:t>
            </w:r>
            <w:r w:rsidR="00CE4BA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/</w:t>
            </w:r>
            <w:r w:rsidR="009F40A8" w:rsidRPr="00CB581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2023</w:t>
            </w:r>
            <w:r w:rsidR="009F40A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DF0D6B" w:rsidRPr="00DF0D6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– </w:t>
            </w:r>
            <w:r w:rsidR="00B97A78" w:rsidRP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Prof.</w:t>
            </w:r>
            <w:r w:rsidR="00A802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A802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ssa</w:t>
            </w:r>
            <w:proofErr w:type="spellEnd"/>
            <w:r w:rsidR="00A84B3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A802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Paola Petrosino</w:t>
            </w:r>
            <w:r w:rsidRPr="00B97A7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, ai sensi dell’art. </w:t>
            </w:r>
            <w:r w:rsidR="00A55F35" w:rsidRPr="00B97A7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50, </w:t>
            </w:r>
            <w:r w:rsidR="00E3776F" w:rsidRPr="00B97A7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comma 1, lettera b) del </w:t>
            </w:r>
            <w:proofErr w:type="spellStart"/>
            <w:r w:rsidR="00E3776F" w:rsidRPr="00B97A7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D.Lgs.</w:t>
            </w:r>
            <w:proofErr w:type="spellEnd"/>
            <w:r w:rsidR="00E3776F" w:rsidRPr="00B97A7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36/2023,</w:t>
            </w:r>
            <w:r w:rsidRPr="00B97A7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per un importo</w:t>
            </w: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contrattuale pari a </w:t>
            </w:r>
            <w:r w:rsidRPr="003440E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€ </w:t>
            </w:r>
            <w:r w:rsidR="003440EB" w:rsidRPr="003440E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1.629</w:t>
            </w:r>
            <w:r w:rsidR="00806BA1" w:rsidRPr="003440E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,80</w:t>
            </w:r>
            <w:r w:rsidRPr="003440E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(IVA</w:t>
            </w:r>
            <w:r w:rsidR="00732E7F" w:rsidRPr="003440E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esclusa</w:t>
            </w: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), CIG </w:t>
            </w:r>
            <w:r w:rsidR="00FB04B6" w:rsidRPr="00FB04B6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ZD43D52EA4</w:t>
            </w: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</w:tc>
      </w:tr>
      <w:tr w:rsidR="00486481" w:rsidRPr="00486481" w14:paraId="23618DF8" w14:textId="77777777" w:rsidTr="00766A39">
        <w:trPr>
          <w:gridAfter w:val="1"/>
          <w:wAfter w:w="9651" w:type="dxa"/>
          <w:trHeight w:val="761"/>
        </w:trPr>
        <w:tc>
          <w:tcPr>
            <w:tcW w:w="2132" w:type="dxa"/>
            <w:shd w:val="clear" w:color="auto" w:fill="auto"/>
          </w:tcPr>
          <w:p w14:paraId="56428379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50BAA53A" w14:textId="77777777" w:rsidR="00486481" w:rsidRPr="00486481" w:rsidRDefault="00486481" w:rsidP="00DF1F6B">
            <w:pPr>
              <w:suppressAutoHyphens/>
              <w:spacing w:before="120" w:after="120"/>
              <w:ind w:left="714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Il DIRETTORE DEL DIPARTIMENTO</w:t>
            </w:r>
          </w:p>
        </w:tc>
      </w:tr>
      <w:tr w:rsidR="00486481" w:rsidRPr="00486481" w14:paraId="57C5302B" w14:textId="77777777" w:rsidTr="00766A39">
        <w:tc>
          <w:tcPr>
            <w:tcW w:w="10122" w:type="dxa"/>
            <w:gridSpan w:val="2"/>
            <w:shd w:val="clear" w:color="auto" w:fill="auto"/>
          </w:tcPr>
          <w:p w14:paraId="70902C25" w14:textId="6C522C54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51" w:type="dxa"/>
          </w:tcPr>
          <w:p w14:paraId="65FA8B77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4633F7A1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42D5B697" w14:textId="70AB4998" w:rsidR="00486481" w:rsidRPr="000F7FB6" w:rsidRDefault="0094397F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0F7FB6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PREMESSO                       </w:t>
            </w:r>
          </w:p>
        </w:tc>
        <w:tc>
          <w:tcPr>
            <w:tcW w:w="7990" w:type="dxa"/>
            <w:shd w:val="clear" w:color="auto" w:fill="auto"/>
          </w:tcPr>
          <w:p w14:paraId="4CCF5BE5" w14:textId="02A76F87" w:rsidR="0094397F" w:rsidRPr="000F7FB6" w:rsidRDefault="0094397F" w:rsidP="0094397F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0F7F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              Che occorre effettuare l’intervento in oggetto perché necessario allo svolgimento delle specifiche funzioni ed attività di ricerca e didattiche assegnate </w:t>
            </w:r>
            <w:r w:rsidR="0027026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al</w:t>
            </w:r>
            <w:r w:rsidR="00FB04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la</w:t>
            </w:r>
            <w:r w:rsidR="0027026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Prof.</w:t>
            </w:r>
            <w:r w:rsidR="00FB04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FB04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ssa</w:t>
            </w:r>
            <w:proofErr w:type="spellEnd"/>
            <w:r w:rsidR="0027026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="00FB04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Paola Petrosino</w:t>
            </w:r>
            <w:r w:rsidR="00450D2A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.</w:t>
            </w:r>
            <w:r w:rsidRPr="000F7F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   </w:t>
            </w:r>
          </w:p>
          <w:p w14:paraId="52F91B93" w14:textId="2FCD4C44" w:rsidR="0094397F" w:rsidRPr="000F7FB6" w:rsidRDefault="0094397F" w:rsidP="0094397F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0F7F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               </w:t>
            </w:r>
          </w:p>
          <w:p w14:paraId="1BCA97F3" w14:textId="0F79E955" w:rsidR="00486481" w:rsidRPr="000F7FB6" w:rsidRDefault="00486481" w:rsidP="0094397F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0F7F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il D. Lgs. </w:t>
            </w:r>
            <w:r w:rsidR="00760267" w:rsidRPr="000F7F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n</w:t>
            </w:r>
            <w:r w:rsidR="00C60040" w:rsidRPr="000F7F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.</w:t>
            </w:r>
            <w:r w:rsidR="00C97223" w:rsidRPr="000F7F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36</w:t>
            </w:r>
            <w:r w:rsidRPr="000F7F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del </w:t>
            </w:r>
            <w:r w:rsidR="00A35936" w:rsidRPr="000F7F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31 marzo 2023 (codice appalti)</w:t>
            </w:r>
            <w:r w:rsidRPr="000F7F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;</w:t>
            </w:r>
          </w:p>
        </w:tc>
      </w:tr>
      <w:tr w:rsidR="00486481" w:rsidRPr="00486481" w14:paraId="31222C54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52AFB7B9" w14:textId="77777777" w:rsidR="00486481" w:rsidRPr="00450D2A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450D2A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VISTO </w:t>
            </w:r>
          </w:p>
        </w:tc>
        <w:tc>
          <w:tcPr>
            <w:tcW w:w="7990" w:type="dxa"/>
            <w:shd w:val="clear" w:color="auto" w:fill="auto"/>
          </w:tcPr>
          <w:p w14:paraId="3A28250D" w14:textId="0B59F7E7" w:rsidR="00486481" w:rsidRPr="00450D2A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450D2A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in particolare l’art. </w:t>
            </w:r>
            <w:r w:rsidR="008912CB" w:rsidRPr="00450D2A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17</w:t>
            </w:r>
            <w:r w:rsidRPr="00450D2A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, comma </w:t>
            </w:r>
            <w:r w:rsidR="00964BE8" w:rsidRPr="00450D2A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1</w:t>
            </w:r>
            <w:r w:rsidRPr="00450D2A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,  del predetto decreto, il quale prevede che, prima dell’avvio delle procedure di affidamento dei contratti pubblici, le stazioni appaltanti, in conformità ai propri ordinamenti, decretano o determinano di contrarre, individuando gli elementi essenziali del contratto e i criteri di selezione degli operatori economici e delle offerte e che,</w:t>
            </w:r>
            <w:r w:rsidR="00406B2D" w:rsidRPr="00450D2A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(comma 2)</w:t>
            </w:r>
            <w:r w:rsidRPr="00450D2A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="00F10FB0" w:rsidRPr="00450D2A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tecnico-professionale.</w:t>
            </w:r>
            <w:r w:rsidRPr="00450D2A"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  <w:t>;</w:t>
            </w:r>
          </w:p>
        </w:tc>
      </w:tr>
      <w:tr w:rsidR="00486481" w:rsidRPr="00486481" w14:paraId="1310E0C8" w14:textId="77777777" w:rsidTr="00766A39">
        <w:trPr>
          <w:gridAfter w:val="1"/>
          <w:wAfter w:w="9651" w:type="dxa"/>
          <w:trHeight w:val="1907"/>
        </w:trPr>
        <w:tc>
          <w:tcPr>
            <w:tcW w:w="2132" w:type="dxa"/>
            <w:shd w:val="clear" w:color="auto" w:fill="auto"/>
          </w:tcPr>
          <w:p w14:paraId="17B07205" w14:textId="77777777" w:rsidR="00486481" w:rsidRPr="00450D2A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450D2A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VISTO</w:t>
            </w:r>
          </w:p>
          <w:p w14:paraId="59337E41" w14:textId="77777777" w:rsidR="00766A39" w:rsidRPr="00450D2A" w:rsidRDefault="00766A39" w:rsidP="00766A39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DA3CC21" w14:textId="77777777" w:rsidR="00766A39" w:rsidRPr="00450D2A" w:rsidRDefault="00766A39" w:rsidP="00766A39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CBD1906" w14:textId="77777777" w:rsidR="00766A39" w:rsidRPr="00450D2A" w:rsidRDefault="00766A39" w:rsidP="00766A39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B494032" w14:textId="77777777" w:rsidR="00766A39" w:rsidRPr="00450D2A" w:rsidRDefault="00766A39" w:rsidP="00766A39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96C1748" w14:textId="77777777" w:rsidR="00766A39" w:rsidRPr="00450D2A" w:rsidRDefault="00766A39" w:rsidP="00766A39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E396C50" w14:textId="77777777" w:rsidR="00766A39" w:rsidRPr="00450D2A" w:rsidRDefault="00766A39" w:rsidP="00766A39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646BF8B" w14:textId="77777777" w:rsidR="00766A39" w:rsidRPr="00450D2A" w:rsidRDefault="00766A39" w:rsidP="00766A39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991A8CA" w14:textId="77777777" w:rsidR="00766A39" w:rsidRPr="00450D2A" w:rsidRDefault="00766A39" w:rsidP="00766A39">
            <w:pPr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E2A132A" w14:textId="77777777" w:rsidR="00766A39" w:rsidRPr="00450D2A" w:rsidRDefault="00766A39" w:rsidP="00766A39">
            <w:pP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070B6CBC" w14:textId="2F3B7C83" w:rsidR="00766A39" w:rsidRPr="00450D2A" w:rsidRDefault="00766A39" w:rsidP="00766A39">
            <w:pPr>
              <w:ind w:firstLine="708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450D2A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VISTO</w:t>
            </w:r>
          </w:p>
        </w:tc>
        <w:tc>
          <w:tcPr>
            <w:tcW w:w="7990" w:type="dxa"/>
            <w:shd w:val="clear" w:color="auto" w:fill="auto"/>
          </w:tcPr>
          <w:p w14:paraId="637834B8" w14:textId="77777777" w:rsidR="00766A39" w:rsidRPr="00450D2A" w:rsidRDefault="00486481" w:rsidP="00766A39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</w:pPr>
            <w:r w:rsidRPr="00450D2A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lastRenderedPageBreak/>
              <w:t xml:space="preserve">in particolare, l’art. </w:t>
            </w:r>
            <w:r w:rsidR="00350266" w:rsidRPr="00450D2A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50</w:t>
            </w:r>
            <w:r w:rsidRPr="00450D2A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, comma </w:t>
            </w:r>
            <w:r w:rsidR="00DA168B" w:rsidRPr="00450D2A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1</w:t>
            </w:r>
            <w:r w:rsidRPr="00450D2A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, lettera a) del citato decreto, il quale prevede che «</w:t>
            </w:r>
            <w:r w:rsidR="000948F6" w:rsidRPr="00450D2A">
              <w:rPr>
                <w:rFonts w:ascii="Calibri" w:hAnsi="Calibri" w:cs="Calibri"/>
                <w:i/>
                <w:iCs/>
                <w:color w:val="000000"/>
                <w:sz w:val="27"/>
                <w:szCs w:val="27"/>
              </w:rPr>
              <w:t xml:space="preserve"> </w:t>
            </w:r>
            <w:r w:rsidR="000948F6" w:rsidRPr="00450D2A"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  <w:t>Salvo quanto previsto dagli articoli 62 e 63, le stazioni appaltanti procedono all'affidamento dei contratti di lavori, servizi e forniture di importo inferiore alle soglie di cui all’articolo 14 con le seguenti modalità: a) affidamento diretto per lavori di importo inferiore a 1</w:t>
            </w:r>
            <w:r w:rsidR="009C6C06" w:rsidRPr="00450D2A"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  <w:t>4</w:t>
            </w:r>
            <w:r w:rsidR="000948F6" w:rsidRPr="00450D2A"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  <w:t xml:space="preserve">0.000 euro, anche senza consultazione di più operatori economici, assicurando che siano scelti soggetti in possesso di documentate esperienze pregresse idonee all’esecuzione delle prestazioni </w:t>
            </w:r>
            <w:r w:rsidR="000948F6" w:rsidRPr="00450D2A"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  <w:lastRenderedPageBreak/>
              <w:t>contrattuali anche individuati tra gli iscritti in elenchi o albi istituiti dalla stazione appaltante</w:t>
            </w:r>
            <w:r w:rsidR="00766A39" w:rsidRPr="00450D2A"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  <w:t>;</w:t>
            </w:r>
          </w:p>
          <w:p w14:paraId="5C571015" w14:textId="6CB92F1A" w:rsidR="00766A39" w:rsidRPr="00450D2A" w:rsidRDefault="00766A39" w:rsidP="00766A39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</w:pPr>
            <w:r w:rsidRPr="00450D2A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che l’Allegato I.1 al D. Lgs. n. 36/2023 definisce, all’articolo 3, comma 1, lettera d), l’affidamento diretto come</w:t>
            </w:r>
            <w:r w:rsidRPr="00450D2A"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  <w:t xml:space="preserve"> “l’affidamento del contratto senza una procedura di gara, nel quale, anche nel caso di previo interpello di più operatori economici, la scelta è operata discrezionalmente dalla stazione appaltante o dall’ente concedente, nel rispetto dei criteri qualitativi e quantitativi di cui all’articolo 50, comma 1 lettere a) e b), del codice e dei requisiti generali o speciali previsti dal medesimo Codice;</w:t>
            </w:r>
          </w:p>
        </w:tc>
      </w:tr>
      <w:tr w:rsidR="00486481" w:rsidRPr="00486481" w14:paraId="1D4212D4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26091745" w14:textId="70757F2D" w:rsidR="00486481" w:rsidRPr="00486481" w:rsidRDefault="00766A39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lastRenderedPageBreak/>
              <w:t>VISTO</w:t>
            </w:r>
          </w:p>
        </w:tc>
        <w:tc>
          <w:tcPr>
            <w:tcW w:w="7990" w:type="dxa"/>
            <w:shd w:val="clear" w:color="auto" w:fill="auto"/>
          </w:tcPr>
          <w:p w14:paraId="45CE7A99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l’art. 1, comma 449 della L. 296 del 2006, come modificato dall’art. 1, comma 495, L. n. 208 del 2015, che prevede che le istituzioni universitarie – tra gli altri - sono tenute ad approvvigionarsi utilizzando le Convenzioni stipulate da Consip S.p.A., previste dall’art. 26 della legge 488/2000 e s. .</w:t>
            </w:r>
            <w:proofErr w:type="spellStart"/>
            <w:r w:rsidRPr="0048648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m.i.</w:t>
            </w:r>
            <w:proofErr w:type="spellEnd"/>
            <w:r w:rsidRPr="0048648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, salvo che per gli acquisti  di beni e servizi funzionalmente legati all’attività di ricerca, trasferimento tecnologico e terza missione, ai sensi dell’articolo 4 della legge 126 del 29 ottobre 2019;</w:t>
            </w:r>
          </w:p>
        </w:tc>
      </w:tr>
      <w:tr w:rsidR="00486481" w:rsidRPr="00486481" w14:paraId="6E1C88DD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0AD9214A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VISTA</w:t>
            </w:r>
          </w:p>
        </w:tc>
        <w:tc>
          <w:tcPr>
            <w:tcW w:w="7990" w:type="dxa"/>
            <w:shd w:val="clear" w:color="auto" w:fill="auto"/>
          </w:tcPr>
          <w:p w14:paraId="46DED84B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la circolare</w:t>
            </w: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MIUR del 25 giugno 2019, n. 1409, </w:t>
            </w:r>
            <w:r w:rsidRPr="0048648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indirizzata alle Istituzioni Universitarie, nella quale è contenuto l’invito “</w:t>
            </w:r>
            <w:r w:rsidRPr="00486481"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  <w:t>ad intraprendere le iniziative opportune e necessarie affinché gli Uffici di riferimento non ricorrano al MEPA se non nei casi esplicitamente imposti dalla legge, salvo situazioni eccezionali, debitamente motivate</w:t>
            </w:r>
            <w:r w:rsidRPr="0048648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”;</w:t>
            </w:r>
          </w:p>
        </w:tc>
      </w:tr>
      <w:tr w:rsidR="00486481" w:rsidRPr="00486481" w14:paraId="31EC1612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57BB7B66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ACQUISITA </w:t>
            </w:r>
          </w:p>
        </w:tc>
        <w:tc>
          <w:tcPr>
            <w:tcW w:w="7990" w:type="dxa"/>
            <w:shd w:val="clear" w:color="auto" w:fill="auto"/>
          </w:tcPr>
          <w:p w14:paraId="4E79CE4C" w14:textId="6D4466C4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la richiesta di acquisto </w:t>
            </w:r>
            <w:r w:rsidR="008A0624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de</w:t>
            </w:r>
            <w:r w:rsidR="00C8382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l</w:t>
            </w:r>
            <w:r w:rsidR="00FB04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la</w:t>
            </w:r>
            <w:r w:rsidRPr="0048648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="00425E05" w:rsidRPr="00425E05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Prof. </w:t>
            </w:r>
            <w:proofErr w:type="spellStart"/>
            <w:r w:rsidR="00FB04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ssa</w:t>
            </w:r>
            <w:proofErr w:type="spellEnd"/>
            <w:r w:rsidR="00FB04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Paola Petrosino</w:t>
            </w:r>
            <w:r w:rsidR="00425E05" w:rsidRPr="00425E05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="0077405B" w:rsidRPr="00C65AD4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(mail del </w:t>
            </w:r>
            <w:r w:rsidR="00E32580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15</w:t>
            </w:r>
            <w:r w:rsidR="00AF5D0E" w:rsidRPr="00C65AD4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/</w:t>
            </w:r>
            <w:r w:rsidR="00F1490B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1</w:t>
            </w:r>
            <w:r w:rsidR="00061C50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1</w:t>
            </w:r>
            <w:r w:rsidR="00AF5D0E" w:rsidRPr="00C65AD4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/2023</w:t>
            </w:r>
            <w:r w:rsidR="0077405B" w:rsidRPr="00C65AD4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)</w:t>
            </w:r>
            <w:r w:rsidRPr="00C65AD4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;</w:t>
            </w:r>
          </w:p>
        </w:tc>
      </w:tr>
      <w:tr w:rsidR="00486481" w:rsidRPr="00486481" w14:paraId="1E336BF2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49178FEC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DATO ATTO</w:t>
            </w:r>
          </w:p>
        </w:tc>
        <w:tc>
          <w:tcPr>
            <w:tcW w:w="7990" w:type="dxa"/>
            <w:shd w:val="clear" w:color="auto" w:fill="auto"/>
          </w:tcPr>
          <w:p w14:paraId="27F93358" w14:textId="6AD4B8DC" w:rsidR="00486481" w:rsidRPr="00486481" w:rsidRDefault="00475964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nel</w:t>
            </w:r>
            <w:r w:rsidR="00486481" w:rsidRPr="0048648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Pr="0048648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già menzionato</w:t>
            </w:r>
            <w:r w:rsidR="00486481" w:rsidRPr="0048648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bene/servizio è </w:t>
            </w:r>
            <w:r w:rsidR="00486481" w:rsidRPr="00486481"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  <w:t xml:space="preserve">funzionalmente legato all’attività di ricerca, trasferimento tecnologico, terza missione e che </w:t>
            </w:r>
            <w:r w:rsidR="00486481" w:rsidRPr="00486481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pertanto come da art. 4 del </w:t>
            </w:r>
            <w:r w:rsidRPr="00486481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decreto-legge</w:t>
            </w:r>
            <w:r w:rsidR="00486481" w:rsidRPr="00486481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126 del 29 ottobre 2019 non si applicano le disposizioni relative all’obbligo di ricorso agli strumenti di acquisto e negoziazione Consip S.p.A.;</w:t>
            </w:r>
          </w:p>
        </w:tc>
      </w:tr>
      <w:tr w:rsidR="00486481" w:rsidRPr="00486481" w14:paraId="33F2E726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35C0E680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RITENUTO OPPORTUNO</w:t>
            </w:r>
          </w:p>
          <w:p w14:paraId="44579032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6E43A3E1" w14:textId="2A19CEE5" w:rsidR="00486481" w:rsidRPr="00C74BF1" w:rsidRDefault="00BB542C" w:rsidP="00BE29CE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577A3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d</w:t>
            </w:r>
            <w:r w:rsidR="00C20D20" w:rsidRPr="00A577A3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i </w:t>
            </w:r>
            <w:r w:rsidR="00486481" w:rsidRPr="00A577A3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affidare il servizio/fornitura in oggetto all’operatore</w:t>
            </w:r>
            <w:r w:rsidR="00815E45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="00BE29CE" w:rsidRPr="00BE29CE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ASSING S.p.A.</w:t>
            </w:r>
            <w:r w:rsidR="00BE29CE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="00BE29CE" w:rsidRPr="00BE29CE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Via E. Amaldi 14,</w:t>
            </w:r>
            <w:r w:rsidR="00BE29CE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BE29CE" w:rsidRPr="00BE29CE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00015 Monterotondo (Roma)</w:t>
            </w:r>
            <w:r w:rsidR="00BE29CE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- ITALIA -</w:t>
            </w:r>
            <w:r w:rsidR="00BE29CE" w:rsidRPr="00BE29CE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C.F. 06725640582</w:t>
            </w:r>
            <w:r w:rsidR="00BE29CE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- </w:t>
            </w:r>
            <w:r w:rsidR="00BE29CE" w:rsidRPr="00BE29CE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P. Iva IT01603091008</w:t>
            </w:r>
            <w:r w:rsidR="00BE29CE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486481" w:rsidRPr="005C0CFD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data l</w:t>
            </w:r>
            <w:r w:rsidR="00486481" w:rsidRPr="005C0CFD"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  <w:t xml:space="preserve">a congruità del prezzo in rapporto alla qualità della prestazione </w:t>
            </w:r>
            <w:r w:rsidR="00486481" w:rsidRPr="005C0CFD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e così come da richiesta specifica del docente</w:t>
            </w:r>
            <w:r w:rsidR="0077405B" w:rsidRPr="005C0CFD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sopra menzionato</w:t>
            </w:r>
            <w:r w:rsidR="002D790D" w:rsidRPr="005C0CFD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formulata anche in ragione </w:t>
            </w:r>
            <w:r w:rsidR="00766A39" w:rsidRPr="005C0CFD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della documentata esperienza dell’operatore scelto stante la tecnicità dell’intervento richiesto</w:t>
            </w:r>
            <w:r w:rsidR="0077405B" w:rsidRPr="005C0CFD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;</w:t>
            </w:r>
          </w:p>
        </w:tc>
      </w:tr>
      <w:tr w:rsidR="00486481" w:rsidRPr="00486481" w14:paraId="7881031B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4F43D3C9" w14:textId="77777777" w:rsidR="00486481" w:rsidRDefault="00A130E5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DATO</w:t>
            </w:r>
          </w:p>
          <w:p w14:paraId="7B1BA529" w14:textId="77777777" w:rsidR="00A130E5" w:rsidRDefault="00A130E5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ATTO</w:t>
            </w:r>
          </w:p>
          <w:p w14:paraId="72EF06EF" w14:textId="77777777" w:rsidR="003A1A10" w:rsidRDefault="003A1A10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6A5C7C1D" w14:textId="77777777" w:rsidR="003A1A10" w:rsidRDefault="003A1A10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50F4A0BD" w14:textId="77777777" w:rsidR="003A1A10" w:rsidRDefault="003A1A10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1E5DF39A" w14:textId="77777777" w:rsidR="003A1A10" w:rsidRDefault="003A1A10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RITENUTO</w:t>
            </w:r>
          </w:p>
          <w:p w14:paraId="4B12B167" w14:textId="77777777" w:rsidR="0018167A" w:rsidRDefault="0018167A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739BBE82" w14:textId="77777777" w:rsidR="0018167A" w:rsidRDefault="0018167A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4ACB69EE" w14:textId="77777777" w:rsidR="0018167A" w:rsidRDefault="0018167A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089A72C0" w14:textId="23031996" w:rsidR="0018167A" w:rsidRPr="00486481" w:rsidRDefault="0018167A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lastRenderedPageBreak/>
              <w:t>VISTO</w:t>
            </w:r>
          </w:p>
        </w:tc>
        <w:tc>
          <w:tcPr>
            <w:tcW w:w="7990" w:type="dxa"/>
            <w:shd w:val="clear" w:color="auto" w:fill="auto"/>
          </w:tcPr>
          <w:p w14:paraId="1863CC40" w14:textId="089934AD" w:rsidR="00B73C74" w:rsidRDefault="00A130E5" w:rsidP="009C464D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lastRenderedPageBreak/>
              <w:t>C</w:t>
            </w:r>
            <w:r w:rsidR="00486481" w:rsidRPr="00486481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he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A130E5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trattandosi di affidamento di importo inferiore a 40.000 euro, ai sensi dell’art. 52 comma 1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A130E5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del </w:t>
            </w:r>
            <w:proofErr w:type="spellStart"/>
            <w:r w:rsidRPr="00A130E5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D.Lgs.</w:t>
            </w:r>
            <w:proofErr w:type="spellEnd"/>
            <w:r w:rsidRPr="00A130E5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36/2023, l’operatore economico ha attestato con dichiarazione sostitutiva di atto di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A130E5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notorietà</w:t>
            </w:r>
            <w:r w:rsidR="002D790D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,</w:t>
            </w:r>
            <w:r w:rsidRPr="00A130E5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2D790D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rilasciata ai sensi degli </w:t>
            </w:r>
            <w:proofErr w:type="spellStart"/>
            <w:r w:rsidR="002D790D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artt</w:t>
            </w:r>
            <w:proofErr w:type="spellEnd"/>
            <w:r w:rsidR="002D790D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46, 47 e 76 del DPR N. 445/00 </w:t>
            </w:r>
            <w:r w:rsidRPr="00A130E5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il possesso dei requisiti di partecipazione e di qualificazione richiesti e la stazione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A130E5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appaltante verificherà le dichiarazioni, in caso che queste vengano sorteggiate sulla base del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A130E5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sorteggio a campione individuato con modalità predeterminate ogni anno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A130E5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dall’amministrazione;</w:t>
            </w:r>
          </w:p>
          <w:p w14:paraId="3A62FEA2" w14:textId="48867FE5" w:rsidR="00B73C74" w:rsidRDefault="00625C0E" w:rsidP="00EB431E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  <w:r w:rsidRPr="00625C0E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di non richiedere la garanzia definitiva per l’esecuzione delle prestazioni in parola ai sensi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EB431E" w:rsidRPr="00625C0E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dell’art.</w:t>
            </w:r>
            <w:r w:rsidRPr="00625C0E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53, comma 4 del </w:t>
            </w:r>
            <w:proofErr w:type="spellStart"/>
            <w:r w:rsidRPr="00625C0E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D.Lgs.</w:t>
            </w:r>
            <w:proofErr w:type="spellEnd"/>
            <w:r w:rsidRPr="00625C0E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36/2023, in considerazione del ridotto valore economico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625C0E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delle stesse e della remota possibilità che un inadempimento verificatosi in sede di esecuzione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625C0E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contrattuale possa arrecare significative ripercussioni alla stazione appaltante;</w:t>
            </w:r>
          </w:p>
          <w:p w14:paraId="2830F057" w14:textId="05131C5C" w:rsidR="00B73C74" w:rsidRPr="00EB431E" w:rsidRDefault="00EB431E" w:rsidP="00EB431E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  <w:r w:rsidRPr="00EB431E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l’art. 1, comma 3, del Decreto - Legge n. 95/2012, convertito nella Legge n. 135/2012, ai sensi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EB431E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del quale «Le amministrazioni pubbliche obbligate sulla base di specifica normativa ad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EB431E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approvvigionarsi attraverso le convenzioni di cui all’articolo 26, comma 3 della legge 23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EB431E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dicembre 1999, n. 488 stipulate da </w:t>
            </w:r>
            <w:r w:rsidRPr="00EB431E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lastRenderedPageBreak/>
              <w:t>Consip S.p.A. o dalle centrali di committenza regionali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EB431E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costituite ai sensi dell’articolo 1, comma 455, della legge 27 dicembre 2006, n. 296 possono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EB431E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procedere, qualora la convenzione non sia ancora disponibile e in caso di motivata urgenza,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EB431E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allo svolgimento di autonome procedure di acquisto dirette alla stipula di contratti aventi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EB431E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durata e misura strettamente necessaria e sottoposti a condizione risolutiva nel caso di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EB431E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disponibilità della detta convenzione»</w:t>
            </w:r>
          </w:p>
        </w:tc>
      </w:tr>
      <w:tr w:rsidR="00486481" w:rsidRPr="00486481" w14:paraId="17DD60A0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196690CE" w14:textId="70C7D5AE" w:rsidR="00696807" w:rsidRDefault="00696807" w:rsidP="00696807">
            <w:pPr>
              <w:suppressAutoHyphens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lastRenderedPageBreak/>
              <w:t>CONSIDERATO</w:t>
            </w:r>
          </w:p>
          <w:p w14:paraId="05F3AAA7" w14:textId="77777777" w:rsidR="00577CFF" w:rsidRDefault="00577CFF" w:rsidP="00696807">
            <w:pPr>
              <w:suppressAutoHyphens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77CDEDC4" w14:textId="55F9326A" w:rsidR="00577CFF" w:rsidRDefault="00876593" w:rsidP="00696807">
            <w:pPr>
              <w:suppressAutoHyphens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CONSIDERATO</w:t>
            </w:r>
          </w:p>
          <w:p w14:paraId="0FF3DCD5" w14:textId="77777777" w:rsidR="00577CFF" w:rsidRDefault="00696807" w:rsidP="00B73C74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          </w:t>
            </w:r>
          </w:p>
          <w:p w14:paraId="6E02A0BC" w14:textId="77777777" w:rsidR="00577CFF" w:rsidRDefault="00577CFF" w:rsidP="00B73C74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08612A48" w14:textId="1F72F585" w:rsidR="00486481" w:rsidRPr="00486481" w:rsidRDefault="00696807" w:rsidP="00B73C74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 </w:t>
            </w:r>
            <w:r w:rsidR="00B73C7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61220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          </w:t>
            </w:r>
            <w:r w:rsidR="00486481"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VISTA</w:t>
            </w:r>
          </w:p>
        </w:tc>
        <w:tc>
          <w:tcPr>
            <w:tcW w:w="7990" w:type="dxa"/>
            <w:shd w:val="clear" w:color="auto" w:fill="auto"/>
          </w:tcPr>
          <w:p w14:paraId="19E85BC5" w14:textId="553A5088" w:rsidR="00696807" w:rsidRDefault="00E10D25" w:rsidP="00E10D25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  <w:r w:rsidRPr="00E10D25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che il contratto sarà sottoposto a condizione risolutiva nel caso di sopravvenuta disponibilità di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E10D25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una convenzione Consip S.p.A. avente ad oggetto forniture comparabili con quella oggetto di</w:t>
            </w:r>
            <w:r w:rsidR="00577CFF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E10D25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affidamento, ai sensi della norma sopra citata;</w:t>
            </w:r>
          </w:p>
          <w:p w14:paraId="7A793167" w14:textId="16692492" w:rsidR="002D790D" w:rsidRDefault="00876593" w:rsidP="002D790D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  <w:r w:rsidRPr="00876593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che, per espressa previsione dell’art. 55 comma 2, del </w:t>
            </w:r>
            <w:proofErr w:type="spellStart"/>
            <w:r w:rsidRPr="00876593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D.Lgs.</w:t>
            </w:r>
            <w:proofErr w:type="spellEnd"/>
            <w:r w:rsidRPr="00876593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36/2023, i termini dilatori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876593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previsti dall’articolo 18, commi 3 e 4, non si applicano agli affidamenti dei contratti di importo</w:t>
            </w: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876593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inferiore alle soglie di rilevanza europea;</w:t>
            </w:r>
          </w:p>
          <w:p w14:paraId="2F92818E" w14:textId="77777777" w:rsidR="002D790D" w:rsidRDefault="002D790D" w:rsidP="002D790D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</w:p>
          <w:p w14:paraId="129FCF38" w14:textId="3D9C7857" w:rsidR="00486481" w:rsidRPr="00486481" w:rsidRDefault="002D790D" w:rsidP="002D790D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 xml:space="preserve">               </w:t>
            </w:r>
            <w:r w:rsidR="00486481" w:rsidRPr="00486481"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  <w:t>la documentazione di offerta presentata dall’operatore economico;</w:t>
            </w:r>
          </w:p>
        </w:tc>
      </w:tr>
      <w:tr w:rsidR="00486481" w:rsidRPr="00486481" w14:paraId="72C8ECB4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22D0A654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VISTO</w:t>
            </w:r>
          </w:p>
        </w:tc>
        <w:tc>
          <w:tcPr>
            <w:tcW w:w="7990" w:type="dxa"/>
            <w:shd w:val="clear" w:color="auto" w:fill="auto"/>
          </w:tcPr>
          <w:p w14:paraId="3989B3F1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Il vigente Piano Triennale per la Prevenzione della Corruzione e per la Trasparenza;</w:t>
            </w:r>
          </w:p>
        </w:tc>
      </w:tr>
      <w:tr w:rsidR="00486481" w:rsidRPr="00486481" w14:paraId="6CF02370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212DB286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VISTO</w:t>
            </w:r>
          </w:p>
        </w:tc>
        <w:tc>
          <w:tcPr>
            <w:tcW w:w="7990" w:type="dxa"/>
            <w:shd w:val="clear" w:color="auto" w:fill="auto"/>
          </w:tcPr>
          <w:p w14:paraId="71267F57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39785BCE" w14:textId="77777777" w:rsidR="0021292A" w:rsidRDefault="0021292A" w:rsidP="0021292A">
      <w:pPr>
        <w:suppressAutoHyphens/>
        <w:spacing w:before="120" w:after="120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538C8330" w14:textId="73480435" w:rsidR="00486481" w:rsidRPr="00486481" w:rsidRDefault="00486481" w:rsidP="00486481">
      <w:pPr>
        <w:suppressAutoHyphens/>
        <w:spacing w:before="120" w:after="120"/>
        <w:ind w:left="714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486481">
        <w:rPr>
          <w:rFonts w:ascii="Calibri" w:eastAsia="Calibri" w:hAnsi="Calibri" w:cs="Calibri"/>
          <w:b/>
          <w:bCs/>
          <w:sz w:val="22"/>
          <w:szCs w:val="22"/>
          <w:lang w:eastAsia="en-US"/>
        </w:rPr>
        <w:t>DETERMINA</w:t>
      </w:r>
    </w:p>
    <w:p w14:paraId="509199E2" w14:textId="77777777" w:rsidR="00486481" w:rsidRPr="00486481" w:rsidRDefault="00486481" w:rsidP="00486481">
      <w:pPr>
        <w:suppressAutoHyphens/>
        <w:spacing w:before="120" w:after="120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486481">
        <w:rPr>
          <w:rFonts w:ascii="Calibri" w:eastAsia="Calibri" w:hAnsi="Calibri" w:cs="Calibri"/>
          <w:bCs/>
          <w:sz w:val="22"/>
          <w:szCs w:val="22"/>
          <w:lang w:eastAsia="en-US"/>
        </w:rPr>
        <w:t>Per i motivi espressi nella premessa, che si intendono integralmente richiamati:</w:t>
      </w:r>
    </w:p>
    <w:p w14:paraId="2CAF3D1F" w14:textId="0D2B9878" w:rsidR="00734C35" w:rsidRPr="004A7E4C" w:rsidRDefault="00486481" w:rsidP="00734C3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4A7E4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di autorizzare, ai sensi </w:t>
      </w:r>
      <w:r w:rsidR="00037AB9" w:rsidRPr="004A7E4C">
        <w:rPr>
          <w:rFonts w:ascii="Calibri" w:eastAsia="Calibri" w:hAnsi="Calibri" w:cs="Calibri"/>
          <w:sz w:val="22"/>
          <w:szCs w:val="22"/>
          <w:lang w:eastAsia="en-US"/>
        </w:rPr>
        <w:t xml:space="preserve">dell’art. 50, comma 1, lettera b) del </w:t>
      </w:r>
      <w:proofErr w:type="spellStart"/>
      <w:r w:rsidR="00037AB9" w:rsidRPr="004A7E4C">
        <w:rPr>
          <w:rFonts w:ascii="Calibri" w:eastAsia="Calibri" w:hAnsi="Calibri" w:cs="Calibri"/>
          <w:sz w:val="22"/>
          <w:szCs w:val="22"/>
          <w:lang w:eastAsia="en-US"/>
        </w:rPr>
        <w:t>D.Lgs.</w:t>
      </w:r>
      <w:proofErr w:type="spellEnd"/>
      <w:r w:rsidR="00037AB9" w:rsidRPr="004A7E4C">
        <w:rPr>
          <w:rFonts w:ascii="Calibri" w:eastAsia="Calibri" w:hAnsi="Calibri" w:cs="Calibri"/>
          <w:sz w:val="22"/>
          <w:szCs w:val="22"/>
          <w:lang w:eastAsia="en-US"/>
        </w:rPr>
        <w:t xml:space="preserve"> 36/2023</w:t>
      </w:r>
      <w:r w:rsidRPr="004A7E4C">
        <w:rPr>
          <w:rFonts w:ascii="Calibri" w:eastAsia="Calibri" w:hAnsi="Calibri" w:cs="Calibri"/>
          <w:bCs/>
          <w:sz w:val="22"/>
          <w:szCs w:val="22"/>
          <w:lang w:eastAsia="en-US"/>
        </w:rPr>
        <w:t>, l’affidamento diretto del servizio avente ad oggetto</w:t>
      </w:r>
      <w:r w:rsidR="00042ECE" w:rsidRPr="004A7E4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spese di acquisto di consumabili per laboratorio: n. 4 AG-G3347N </w:t>
      </w:r>
      <w:proofErr w:type="spellStart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Leit</w:t>
      </w:r>
      <w:proofErr w:type="spellEnd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Adhesive</w:t>
      </w:r>
      <w:proofErr w:type="spellEnd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Carbon </w:t>
      </w:r>
      <w:proofErr w:type="spellStart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Tabs</w:t>
      </w:r>
      <w:proofErr w:type="spellEnd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12mm (Pack of 100), n. 4 AG-G3348N </w:t>
      </w:r>
      <w:proofErr w:type="spellStart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Leit</w:t>
      </w:r>
      <w:proofErr w:type="spellEnd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Adhesive</w:t>
      </w:r>
      <w:proofErr w:type="spellEnd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Carbon </w:t>
      </w:r>
      <w:proofErr w:type="spellStart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Tabs</w:t>
      </w:r>
      <w:proofErr w:type="spellEnd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25mm (Pack of 54) CARBON TABS - Confezione da 54 pz, n. 1 di AG-B7390 Gold Disc Target 57mm dia x 0.1mm </w:t>
      </w:r>
      <w:proofErr w:type="spellStart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Coater</w:t>
      </w:r>
      <w:proofErr w:type="spellEnd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Type</w:t>
      </w:r>
      <w:proofErr w:type="spellEnd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1, n. 1 di AG-B7391 Gold/</w:t>
      </w:r>
      <w:proofErr w:type="spellStart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Palladium</w:t>
      </w:r>
      <w:proofErr w:type="spellEnd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Disc Target, 57mm dia x 0.1mm, n. 8 di AG-E429 </w:t>
      </w:r>
      <w:proofErr w:type="spellStart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Shaped</w:t>
      </w:r>
      <w:proofErr w:type="spellEnd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Carbon </w:t>
      </w:r>
      <w:proofErr w:type="spellStart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Rods</w:t>
      </w:r>
      <w:proofErr w:type="spellEnd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6mm x 55mm (Pack of 10), n. 8 di AG-E441 </w:t>
      </w:r>
      <w:proofErr w:type="spellStart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Shaped</w:t>
      </w:r>
      <w:proofErr w:type="spellEnd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Carbon </w:t>
      </w:r>
      <w:proofErr w:type="spellStart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Rods</w:t>
      </w:r>
      <w:proofErr w:type="spellEnd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(55mm long) for Agar </w:t>
      </w:r>
      <w:proofErr w:type="spellStart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Coaters</w:t>
      </w:r>
      <w:proofErr w:type="spellEnd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(P </w:t>
      </w:r>
      <w:proofErr w:type="spellStart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ack</w:t>
      </w:r>
      <w:proofErr w:type="spellEnd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of 10) più SERVIZI TRASPORTO/SHIPPING COST – Preventivo ASSING 23_906.OF_0188 del 25/10/2023 – Prof. </w:t>
      </w:r>
      <w:proofErr w:type="spellStart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ssa</w:t>
      </w:r>
      <w:proofErr w:type="spellEnd"/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Paola Petrosino</w:t>
      </w:r>
      <w:r w:rsidR="00042E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, </w:t>
      </w:r>
      <w:r w:rsidRPr="004A7E4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all’operatore </w:t>
      </w:r>
      <w:r w:rsidR="00BE29CE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ASSING S.p.A., Via E. Amaldi 14, 00015 Monterotondo (Roma) - ITALIA - C.F. 06725640582 - P. Iva IT01603091008</w:t>
      </w:r>
      <w:r w:rsidRPr="004A7E4C">
        <w:rPr>
          <w:rFonts w:ascii="Calibri" w:eastAsia="Calibri" w:hAnsi="Calibri" w:cs="Calibri"/>
          <w:bCs/>
          <w:sz w:val="22"/>
          <w:szCs w:val="22"/>
          <w:lang w:eastAsia="en-US"/>
        </w:rPr>
        <w:t>, per un importo complessivo delle prestazioni pari ad €</w:t>
      </w:r>
      <w:r w:rsidR="00A4146D" w:rsidRPr="004A7E4C">
        <w:t xml:space="preserve"> </w:t>
      </w:r>
      <w:r w:rsidR="00860798" w:rsidRPr="004A7E4C">
        <w:rPr>
          <w:rFonts w:ascii="Calibri" w:eastAsia="Calibri" w:hAnsi="Calibri" w:cs="Calibri"/>
          <w:bCs/>
          <w:sz w:val="22"/>
          <w:szCs w:val="22"/>
          <w:lang w:eastAsia="en-US"/>
        </w:rPr>
        <w:t>1.988,36</w:t>
      </w:r>
      <w:r w:rsidR="006A0616" w:rsidRPr="004A7E4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="00364676" w:rsidRPr="004A7E4C">
        <w:rPr>
          <w:rFonts w:ascii="Calibri" w:eastAsia="Calibri" w:hAnsi="Calibri" w:cs="Calibri"/>
          <w:bCs/>
          <w:sz w:val="22"/>
          <w:szCs w:val="22"/>
          <w:lang w:eastAsia="en-US"/>
        </w:rPr>
        <w:t>I</w:t>
      </w:r>
      <w:r w:rsidR="00360688" w:rsidRPr="004A7E4C">
        <w:rPr>
          <w:rFonts w:ascii="Calibri" w:eastAsia="Calibri" w:hAnsi="Calibri" w:cs="Calibri"/>
          <w:bCs/>
          <w:sz w:val="22"/>
          <w:szCs w:val="22"/>
          <w:lang w:eastAsia="en-US"/>
        </w:rPr>
        <w:t>VA</w:t>
      </w:r>
      <w:r w:rsidR="00AB72F1" w:rsidRPr="004A7E4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="00364676" w:rsidRPr="004A7E4C">
        <w:rPr>
          <w:rFonts w:ascii="Calibri" w:eastAsia="Calibri" w:hAnsi="Calibri" w:cs="Calibri"/>
          <w:bCs/>
          <w:sz w:val="22"/>
          <w:szCs w:val="22"/>
          <w:lang w:eastAsia="en-US"/>
        </w:rPr>
        <w:t>inclusa (</w:t>
      </w:r>
      <w:r w:rsidR="006A0616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€ </w:t>
      </w:r>
      <w:r w:rsidR="004A7E4C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1.629</w:t>
      </w:r>
      <w:r w:rsidR="006A0616" w:rsidRPr="004A7E4C">
        <w:rPr>
          <w:rFonts w:ascii="Calibri" w:eastAsia="Calibri" w:hAnsi="Calibri" w:cs="Calibri"/>
          <w:b/>
          <w:bCs/>
          <w:sz w:val="22"/>
          <w:szCs w:val="22"/>
          <w:lang w:eastAsia="en-US"/>
        </w:rPr>
        <w:t>,80</w:t>
      </w:r>
      <w:r w:rsidR="00F23AF4" w:rsidRPr="004A7E4C">
        <w:rPr>
          <w:rFonts w:ascii="Calibri" w:eastAsia="Calibri" w:hAnsi="Calibri" w:cs="Calibri"/>
          <w:bCs/>
          <w:sz w:val="22"/>
          <w:szCs w:val="22"/>
          <w:lang w:eastAsia="en-US"/>
        </w:rPr>
        <w:t>con IVA 22% pari a €</w:t>
      </w:r>
      <w:r w:rsidR="004A7E4C" w:rsidRPr="004A7E4C">
        <w:rPr>
          <w:rFonts w:ascii="Calibri" w:eastAsia="Calibri" w:hAnsi="Calibri" w:cs="Calibri"/>
          <w:bCs/>
          <w:sz w:val="22"/>
          <w:szCs w:val="22"/>
          <w:lang w:eastAsia="en-US"/>
        </w:rPr>
        <w:t>358,56</w:t>
      </w:r>
      <w:r w:rsidR="00F23AF4" w:rsidRPr="004A7E4C">
        <w:rPr>
          <w:rFonts w:ascii="Calibri" w:eastAsia="Calibri" w:hAnsi="Calibri" w:cs="Calibri"/>
          <w:bCs/>
          <w:sz w:val="22"/>
          <w:szCs w:val="22"/>
          <w:lang w:eastAsia="en-US"/>
        </w:rPr>
        <w:t>)</w:t>
      </w:r>
      <w:r w:rsidR="00AB72F1" w:rsidRPr="004A7E4C">
        <w:rPr>
          <w:rFonts w:ascii="Calibri" w:eastAsia="Calibri" w:hAnsi="Calibri" w:cs="Calibri"/>
          <w:bCs/>
          <w:sz w:val="22"/>
          <w:szCs w:val="22"/>
          <w:lang w:eastAsia="en-US"/>
        </w:rPr>
        <w:t>;</w:t>
      </w:r>
    </w:p>
    <w:p w14:paraId="54260DDD" w14:textId="38E60448" w:rsidR="00486481" w:rsidRPr="007C7B14" w:rsidRDefault="00486481" w:rsidP="00734C3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>di autorizzare l’assunzione del relativo impegno di spesa, da imputare sul Progetto:</w:t>
      </w:r>
      <w:r w:rsidR="00BC1E8B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="007047B5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id. </w:t>
      </w:r>
      <w:r w:rsidR="005A2280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>35687</w:t>
      </w:r>
      <w:r w:rsidR="00212EDA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="007C7B14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>e 40523</w:t>
      </w:r>
      <w:r w:rsidR="007047B5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="00E3141F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>000024_Ricerche_di_base_e_app_II_tranche_econ__16</w:t>
      </w:r>
      <w:r w:rsidR="00212EDA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e </w:t>
      </w:r>
      <w:r w:rsidR="00212EDA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>000024_CLAB_PETROSINO</w:t>
      </w:r>
      <w:r w:rsidR="00212EDA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="00F25F34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- </w:t>
      </w:r>
      <w:proofErr w:type="spellStart"/>
      <w:r w:rsidR="00E3141F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>Riass</w:t>
      </w:r>
      <w:proofErr w:type="spellEnd"/>
      <w:r w:rsidR="00E3141F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proofErr w:type="spellStart"/>
      <w:r w:rsidR="00E3141F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>Econ</w:t>
      </w:r>
      <w:proofErr w:type="spellEnd"/>
      <w:r w:rsidR="00E3141F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2016 II Tranche Ricerche di base e applicate nel campo delle Scienze della Terra</w:t>
      </w:r>
      <w:r w:rsidR="00212EDA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e </w:t>
      </w:r>
      <w:r w:rsidR="00212EDA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>000024 CLAB PETROSINO</w:t>
      </w:r>
      <w:r w:rsidR="00212EDA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="00212EDA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>- analisi di laboratorio</w:t>
      </w:r>
      <w:r w:rsidR="00EC6983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>-</w:t>
      </w:r>
      <w:r w:rsidR="007047B5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="005A2280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>CA.04.40.05.01.01</w:t>
      </w:r>
      <w:r w:rsidR="007C7B14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e </w:t>
      </w:r>
      <w:r w:rsidR="007C7B14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>CA.04.41.04.09.02</w:t>
      </w:r>
      <w:r w:rsidR="005A2280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="003659EF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>del bilancio unico di Ateneo di previsione annuale autorizzatorio per l’esercizio finanziario</w:t>
      </w:r>
      <w:r w:rsidR="008F3EAB"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2023</w:t>
      </w:r>
      <w:r w:rsidRPr="007C7B14">
        <w:rPr>
          <w:rFonts w:ascii="Calibri" w:eastAsia="Calibri" w:hAnsi="Calibri" w:cs="Calibri"/>
          <w:bCs/>
          <w:sz w:val="22"/>
          <w:szCs w:val="22"/>
          <w:lang w:eastAsia="en-US"/>
        </w:rPr>
        <w:t>;</w:t>
      </w:r>
    </w:p>
    <w:p w14:paraId="52EEC85A" w14:textId="77777777" w:rsidR="00486481" w:rsidRPr="00486481" w:rsidRDefault="00486481" w:rsidP="00486481">
      <w:pPr>
        <w:numPr>
          <w:ilvl w:val="0"/>
          <w:numId w:val="11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486481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di dare mandato all’Unità organizzativa Responsabile del Procedimento di </w:t>
      </w:r>
      <w:proofErr w:type="gramStart"/>
      <w:r w:rsidRPr="00486481">
        <w:rPr>
          <w:rFonts w:ascii="Calibri" w:eastAsia="Calibri" w:hAnsi="Calibri" w:cs="Calibri"/>
          <w:bCs/>
          <w:sz w:val="22"/>
          <w:szCs w:val="22"/>
          <w:lang w:eastAsia="en-US"/>
        </w:rPr>
        <w:t>porre in essere</w:t>
      </w:r>
      <w:proofErr w:type="gramEnd"/>
      <w:r w:rsidRPr="00486481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0F9A270C" w14:textId="77777777" w:rsidR="0029385F" w:rsidRPr="0029385F" w:rsidRDefault="0029385F" w:rsidP="0029385F">
      <w:pPr>
        <w:suppressAutoHyphens/>
        <w:spacing w:before="120" w:after="120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77777777" w:rsidR="00A24CFB" w:rsidRPr="00A24CFB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color w:val="000000"/>
          <w:sz w:val="23"/>
          <w:szCs w:val="23"/>
        </w:rPr>
      </w:pPr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AE3C5A">
        <w:rPr>
          <w:rFonts w:ascii="Garamond" w:hAnsi="Garamond" w:cs="Garamond"/>
          <w:color w:val="000000"/>
          <w:sz w:val="23"/>
          <w:szCs w:val="23"/>
        </w:rPr>
        <w:t xml:space="preserve">                                                      </w:t>
      </w:r>
    </w:p>
    <w:p w14:paraId="398768C6" w14:textId="77777777" w:rsidR="00614451" w:rsidRDefault="00614451" w:rsidP="00745769">
      <w:pPr>
        <w:autoSpaceDE w:val="0"/>
        <w:autoSpaceDN w:val="0"/>
        <w:adjustRightInd w:val="0"/>
        <w:rPr>
          <w:rFonts w:ascii="Garamond" w:hAnsi="Garamond" w:cs="Garamond"/>
          <w:color w:val="000000"/>
          <w:sz w:val="23"/>
          <w:szCs w:val="23"/>
        </w:rPr>
      </w:pPr>
    </w:p>
    <w:p w14:paraId="5A1D997A" w14:textId="77777777" w:rsidR="009A3FD6" w:rsidRPr="00054405" w:rsidRDefault="009A3FD6" w:rsidP="009A3FD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3C95BD01" w14:textId="77777777" w:rsidR="009A3FD6" w:rsidRPr="00054405" w:rsidRDefault="009A3FD6" w:rsidP="009A3FD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5780A77A" w14:textId="77777777" w:rsidR="009A3FD6" w:rsidRPr="00054405" w:rsidRDefault="009A3FD6" w:rsidP="009A3FD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7DA5E489" w14:textId="2AF00EF1" w:rsidR="009A3FD6" w:rsidRPr="00054405" w:rsidRDefault="009A3FD6" w:rsidP="009A3FD6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6A67A9">
        <w:rPr>
          <w:rFonts w:ascii="Garamond" w:hAnsi="Garamond" w:cs="Garamond"/>
          <w:b/>
          <w:bCs/>
          <w:sz w:val="23"/>
          <w:szCs w:val="23"/>
        </w:rPr>
        <w:t>1</w:t>
      </w:r>
      <w:r w:rsidR="00067A0D">
        <w:rPr>
          <w:rFonts w:ascii="Garamond" w:hAnsi="Garamond" w:cs="Garamond"/>
          <w:b/>
          <w:bCs/>
          <w:sz w:val="23"/>
          <w:szCs w:val="23"/>
        </w:rPr>
        <w:t>91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603D4737" w14:textId="77777777" w:rsidR="009A3FD6" w:rsidRPr="00054405" w:rsidRDefault="009A3FD6" w:rsidP="009A3FD6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9E1F51B" w14:textId="77777777" w:rsidR="009A3FD6" w:rsidRPr="00054405" w:rsidRDefault="009A3FD6" w:rsidP="009A3FD6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5C84C467" w14:textId="77777777" w:rsidR="009A3FD6" w:rsidRPr="00054405" w:rsidRDefault="009A3FD6" w:rsidP="009A3FD6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6C6F9B13" w14:textId="77777777" w:rsidR="009A3FD6" w:rsidRPr="00054405" w:rsidRDefault="009A3FD6" w:rsidP="009A3FD6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109D2B2E" w14:textId="77777777" w:rsidR="009A3FD6" w:rsidRPr="00054405" w:rsidRDefault="009A3FD6" w:rsidP="009A3FD6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9A3FD6" w:rsidRPr="00054405" w14:paraId="12B449A0" w14:textId="77777777" w:rsidTr="007550E5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402D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0EE98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DF497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279D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574F2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9A3FD6" w:rsidRPr="00054405" w14:paraId="65A2144F" w14:textId="77777777" w:rsidTr="007550E5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92D35" w14:textId="77777777" w:rsidR="009A3FD6" w:rsidRPr="00054405" w:rsidRDefault="009A3FD6" w:rsidP="007550E5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18EE" w14:textId="77777777" w:rsidR="009A3FD6" w:rsidRPr="00054405" w:rsidRDefault="009A3FD6" w:rsidP="007550E5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131AA" w14:textId="77777777" w:rsidR="009A3FD6" w:rsidRPr="00054405" w:rsidRDefault="009A3FD6" w:rsidP="007550E5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AFA02" w14:textId="77777777" w:rsidR="009A3FD6" w:rsidRPr="00054405" w:rsidRDefault="009A3FD6" w:rsidP="007550E5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01DB" w14:textId="77777777" w:rsidR="009A3FD6" w:rsidRPr="00054405" w:rsidRDefault="009A3FD6" w:rsidP="007550E5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15F20E51" w14:textId="77777777" w:rsidR="009A3FD6" w:rsidRPr="00054405" w:rsidRDefault="009A3FD6" w:rsidP="009A3FD6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021BF752" w14:textId="77777777" w:rsidR="009A3FD6" w:rsidRPr="00950058" w:rsidRDefault="009A3FD6" w:rsidP="009A3FD6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05EBB99E" w14:textId="77777777" w:rsidR="009A3FD6" w:rsidRPr="00950058" w:rsidRDefault="009A3FD6" w:rsidP="009A3FD6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3F3C980D" w14:textId="77777777" w:rsidR="009A3FD6" w:rsidRPr="00950058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12A1F74B" w14:textId="77777777" w:rsidR="009A3FD6" w:rsidRPr="00950058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6A98B4DC" w14:textId="77777777" w:rsidR="009A3FD6" w:rsidRPr="00950058" w:rsidRDefault="009A3FD6" w:rsidP="009A3FD6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7F5F5A19" w14:textId="77777777" w:rsidR="009A3FD6" w:rsidRPr="00950058" w:rsidRDefault="009A3FD6" w:rsidP="009A3FD6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08106CCB" w14:textId="77777777" w:rsidR="009A3FD6" w:rsidRPr="00950058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92A5706" w14:textId="77777777" w:rsidR="009A3FD6" w:rsidRPr="00950058" w:rsidRDefault="009A3FD6" w:rsidP="009A3FD6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2"/>
      </w:r>
      <w:r w:rsidRPr="00950058">
        <w:rPr>
          <w:sz w:val="18"/>
          <w:szCs w:val="18"/>
        </w:rPr>
        <w:t xml:space="preserve">; </w:t>
      </w:r>
    </w:p>
    <w:p w14:paraId="6859729E" w14:textId="77777777" w:rsidR="009A3FD6" w:rsidRPr="00054405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4A8F17E6" w14:textId="77777777" w:rsidR="009A3FD6" w:rsidRPr="00054405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6E94C019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5B9A6E59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4E88427E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5C6BC6C5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2DB55C18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219AC71B" w14:textId="77777777" w:rsidR="009A3FD6" w:rsidRPr="00054405" w:rsidRDefault="009A3FD6" w:rsidP="009A3FD6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4CDB808E" wp14:editId="1BDFABC5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9A3FD6" w:rsidRPr="00054405" w14:paraId="60B303DD" w14:textId="77777777" w:rsidTr="007550E5">
        <w:tc>
          <w:tcPr>
            <w:tcW w:w="3351" w:type="dxa"/>
            <w:hideMark/>
          </w:tcPr>
          <w:p w14:paraId="49D52E1A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12566660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17A23CEE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460837F3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45735AD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4EA82334" w14:textId="77777777" w:rsidR="009A3FD6" w:rsidRPr="00054405" w:rsidRDefault="009A3FD6" w:rsidP="009A3FD6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5042BAC9" w14:textId="142E46E8" w:rsidR="00A04C1B" w:rsidRDefault="00646EFA" w:rsidP="00B74C33">
      <w:pPr>
        <w:autoSpaceDE w:val="0"/>
        <w:autoSpaceDN w:val="0"/>
        <w:adjustRightInd w:val="0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 xml:space="preserve">                                                                                      </w:t>
      </w:r>
      <w:bookmarkEnd w:id="1"/>
    </w:p>
    <w:sectPr w:rsidR="00A04C1B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4B8AC" w14:textId="77777777" w:rsidR="007F0448" w:rsidRDefault="007F0448" w:rsidP="0058391E">
      <w:r>
        <w:separator/>
      </w:r>
    </w:p>
  </w:endnote>
  <w:endnote w:type="continuationSeparator" w:id="0">
    <w:p w14:paraId="566D1D21" w14:textId="77777777" w:rsidR="007F0448" w:rsidRDefault="007F0448" w:rsidP="0058391E">
      <w:r>
        <w:continuationSeparator/>
      </w:r>
    </w:p>
  </w:endnote>
  <w:endnote w:type="continuationNotice" w:id="1">
    <w:p w14:paraId="23A8E5DE" w14:textId="77777777" w:rsidR="007F0448" w:rsidRDefault="007F0448"/>
  </w:endnote>
  <w:endnote w:id="2">
    <w:p w14:paraId="6ECD526C" w14:textId="77777777" w:rsidR="009A3FD6" w:rsidRPr="00950058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55DFD95E" w14:textId="77777777" w:rsidR="009A3FD6" w:rsidRPr="00950058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07A2C6CA" w14:textId="77777777" w:rsidR="009A3FD6" w:rsidRPr="00950058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0AB0EC7B" w14:textId="77777777" w:rsidR="009A3FD6" w:rsidRPr="00950058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406CEDE5" w14:textId="77777777" w:rsidR="009A3FD6" w:rsidRPr="001C06EB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 xml:space="preserve">4. Le stazioni appaltanti adottano misure adeguate </w:t>
      </w:r>
      <w:proofErr w:type="gramStart"/>
      <w:r w:rsidRPr="00950058">
        <w:rPr>
          <w:rFonts w:ascii="Calibri" w:hAnsi="Calibri" w:cs="Calibri"/>
          <w:sz w:val="16"/>
          <w:szCs w:val="16"/>
        </w:rPr>
        <w:t>per</w:t>
      </w:r>
      <w:proofErr w:type="gramEnd"/>
      <w:r w:rsidRPr="00950058">
        <w:rPr>
          <w:rFonts w:ascii="Calibri" w:hAnsi="Calibri" w:cs="Calibri"/>
          <w:sz w:val="16"/>
          <w:szCs w:val="16"/>
        </w:rPr>
        <w:t xml:space="preserve">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2DEF4169" w14:textId="77777777" w:rsidR="009A3FD6" w:rsidRPr="001C06EB" w:rsidRDefault="009A3FD6" w:rsidP="009A3FD6">
      <w:pPr>
        <w:ind w:left="284" w:right="142" w:hanging="284"/>
        <w:jc w:val="both"/>
        <w:rPr>
          <w:sz w:val="16"/>
          <w:szCs w:val="16"/>
        </w:rPr>
      </w:pPr>
    </w:p>
    <w:p w14:paraId="4EAD1D1B" w14:textId="77777777" w:rsidR="009A3FD6" w:rsidRDefault="009A3FD6" w:rsidP="009A3FD6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E504A" w14:textId="77777777" w:rsidR="007F0448" w:rsidRDefault="007F0448" w:rsidP="0058391E">
      <w:r>
        <w:separator/>
      </w:r>
    </w:p>
  </w:footnote>
  <w:footnote w:type="continuationSeparator" w:id="0">
    <w:p w14:paraId="5D9A7FB4" w14:textId="77777777" w:rsidR="007F0448" w:rsidRDefault="007F0448" w:rsidP="0058391E">
      <w:r>
        <w:continuationSeparator/>
      </w:r>
    </w:p>
  </w:footnote>
  <w:footnote w:type="continuationNotice" w:id="1">
    <w:p w14:paraId="33098EEC" w14:textId="77777777" w:rsidR="007F0448" w:rsidRDefault="007F044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138EC"/>
    <w:rsid w:val="00032C0E"/>
    <w:rsid w:val="00036013"/>
    <w:rsid w:val="00036E43"/>
    <w:rsid w:val="00037AB9"/>
    <w:rsid w:val="00042ECE"/>
    <w:rsid w:val="00052C62"/>
    <w:rsid w:val="00053CAB"/>
    <w:rsid w:val="00055B5A"/>
    <w:rsid w:val="00061C50"/>
    <w:rsid w:val="000653D8"/>
    <w:rsid w:val="00067A0D"/>
    <w:rsid w:val="00074E23"/>
    <w:rsid w:val="00090F9D"/>
    <w:rsid w:val="000929FB"/>
    <w:rsid w:val="000948F6"/>
    <w:rsid w:val="000A0819"/>
    <w:rsid w:val="000A290F"/>
    <w:rsid w:val="000B39AE"/>
    <w:rsid w:val="000F7FB6"/>
    <w:rsid w:val="00104653"/>
    <w:rsid w:val="001160AB"/>
    <w:rsid w:val="00123E98"/>
    <w:rsid w:val="00143299"/>
    <w:rsid w:val="00150F6C"/>
    <w:rsid w:val="00155130"/>
    <w:rsid w:val="00172B21"/>
    <w:rsid w:val="00172E16"/>
    <w:rsid w:val="0017466E"/>
    <w:rsid w:val="001777A9"/>
    <w:rsid w:val="0018038A"/>
    <w:rsid w:val="0018167A"/>
    <w:rsid w:val="00186FB2"/>
    <w:rsid w:val="00193A2E"/>
    <w:rsid w:val="00195E81"/>
    <w:rsid w:val="00197866"/>
    <w:rsid w:val="001A4316"/>
    <w:rsid w:val="001B0CC3"/>
    <w:rsid w:val="001B39F3"/>
    <w:rsid w:val="001C1537"/>
    <w:rsid w:val="001C56C0"/>
    <w:rsid w:val="001E077E"/>
    <w:rsid w:val="00202C44"/>
    <w:rsid w:val="00203D6D"/>
    <w:rsid w:val="0021292A"/>
    <w:rsid w:val="00212EDA"/>
    <w:rsid w:val="00221073"/>
    <w:rsid w:val="00230E4B"/>
    <w:rsid w:val="002312FF"/>
    <w:rsid w:val="00235671"/>
    <w:rsid w:val="002372CC"/>
    <w:rsid w:val="002377A8"/>
    <w:rsid w:val="00251D5C"/>
    <w:rsid w:val="002663E2"/>
    <w:rsid w:val="00270269"/>
    <w:rsid w:val="002827A5"/>
    <w:rsid w:val="00286F0D"/>
    <w:rsid w:val="00291E0E"/>
    <w:rsid w:val="002934B1"/>
    <w:rsid w:val="0029385F"/>
    <w:rsid w:val="00294DB6"/>
    <w:rsid w:val="002A3E9D"/>
    <w:rsid w:val="002A7167"/>
    <w:rsid w:val="002B2BF8"/>
    <w:rsid w:val="002B5CE4"/>
    <w:rsid w:val="002C24D4"/>
    <w:rsid w:val="002C44EA"/>
    <w:rsid w:val="002D4702"/>
    <w:rsid w:val="002D790D"/>
    <w:rsid w:val="002E4BF5"/>
    <w:rsid w:val="002E6177"/>
    <w:rsid w:val="00307924"/>
    <w:rsid w:val="00307C8B"/>
    <w:rsid w:val="003145C4"/>
    <w:rsid w:val="0032795B"/>
    <w:rsid w:val="00335F8A"/>
    <w:rsid w:val="003440EB"/>
    <w:rsid w:val="00350266"/>
    <w:rsid w:val="00352AA8"/>
    <w:rsid w:val="00360688"/>
    <w:rsid w:val="00364036"/>
    <w:rsid w:val="00364676"/>
    <w:rsid w:val="003659EF"/>
    <w:rsid w:val="00373AA9"/>
    <w:rsid w:val="003868C8"/>
    <w:rsid w:val="00391B5B"/>
    <w:rsid w:val="00391E59"/>
    <w:rsid w:val="00391E69"/>
    <w:rsid w:val="00397E30"/>
    <w:rsid w:val="003A1822"/>
    <w:rsid w:val="003A1A10"/>
    <w:rsid w:val="003A39DF"/>
    <w:rsid w:val="003A74FF"/>
    <w:rsid w:val="003B4EBB"/>
    <w:rsid w:val="003B7EC3"/>
    <w:rsid w:val="003C289D"/>
    <w:rsid w:val="003D7DC6"/>
    <w:rsid w:val="003E057B"/>
    <w:rsid w:val="003E4326"/>
    <w:rsid w:val="003F64CE"/>
    <w:rsid w:val="00405F68"/>
    <w:rsid w:val="00406901"/>
    <w:rsid w:val="00406B2D"/>
    <w:rsid w:val="004100AF"/>
    <w:rsid w:val="004206D0"/>
    <w:rsid w:val="00422544"/>
    <w:rsid w:val="0042332B"/>
    <w:rsid w:val="00425E05"/>
    <w:rsid w:val="00430DC1"/>
    <w:rsid w:val="00431124"/>
    <w:rsid w:val="00437042"/>
    <w:rsid w:val="0044030D"/>
    <w:rsid w:val="0044037D"/>
    <w:rsid w:val="00450D2A"/>
    <w:rsid w:val="0045232B"/>
    <w:rsid w:val="00461AF9"/>
    <w:rsid w:val="00473E0C"/>
    <w:rsid w:val="00475505"/>
    <w:rsid w:val="00475964"/>
    <w:rsid w:val="0048159B"/>
    <w:rsid w:val="00482214"/>
    <w:rsid w:val="00486481"/>
    <w:rsid w:val="004A7E4C"/>
    <w:rsid w:val="004B3333"/>
    <w:rsid w:val="004D346C"/>
    <w:rsid w:val="004E5995"/>
    <w:rsid w:val="005067BA"/>
    <w:rsid w:val="00506D20"/>
    <w:rsid w:val="00521A90"/>
    <w:rsid w:val="00521AE1"/>
    <w:rsid w:val="005249D6"/>
    <w:rsid w:val="00531184"/>
    <w:rsid w:val="005356FC"/>
    <w:rsid w:val="00535CC1"/>
    <w:rsid w:val="00536DD9"/>
    <w:rsid w:val="00540C55"/>
    <w:rsid w:val="00547ACB"/>
    <w:rsid w:val="00550F57"/>
    <w:rsid w:val="00565CC5"/>
    <w:rsid w:val="00570FC5"/>
    <w:rsid w:val="005720BD"/>
    <w:rsid w:val="0057517E"/>
    <w:rsid w:val="00577CFF"/>
    <w:rsid w:val="00580D16"/>
    <w:rsid w:val="0058391E"/>
    <w:rsid w:val="00597925"/>
    <w:rsid w:val="005A2280"/>
    <w:rsid w:val="005A3732"/>
    <w:rsid w:val="005B1892"/>
    <w:rsid w:val="005B27D4"/>
    <w:rsid w:val="005B3B13"/>
    <w:rsid w:val="005C0CFD"/>
    <w:rsid w:val="005C109F"/>
    <w:rsid w:val="005C5360"/>
    <w:rsid w:val="005D68EF"/>
    <w:rsid w:val="005D7482"/>
    <w:rsid w:val="005D771B"/>
    <w:rsid w:val="005F323A"/>
    <w:rsid w:val="005F3473"/>
    <w:rsid w:val="005F73C3"/>
    <w:rsid w:val="00611D5D"/>
    <w:rsid w:val="00612208"/>
    <w:rsid w:val="00612D2E"/>
    <w:rsid w:val="00614451"/>
    <w:rsid w:val="00623692"/>
    <w:rsid w:val="00625C0E"/>
    <w:rsid w:val="00646EFA"/>
    <w:rsid w:val="0065429C"/>
    <w:rsid w:val="006640FE"/>
    <w:rsid w:val="00667F2F"/>
    <w:rsid w:val="00672B1F"/>
    <w:rsid w:val="006830D3"/>
    <w:rsid w:val="0068717B"/>
    <w:rsid w:val="00692046"/>
    <w:rsid w:val="00696807"/>
    <w:rsid w:val="006A0616"/>
    <w:rsid w:val="006A0A85"/>
    <w:rsid w:val="006A37F9"/>
    <w:rsid w:val="006A67A9"/>
    <w:rsid w:val="006A70A5"/>
    <w:rsid w:val="006B1DE5"/>
    <w:rsid w:val="006B32E9"/>
    <w:rsid w:val="006C1B9E"/>
    <w:rsid w:val="006D0566"/>
    <w:rsid w:val="006E2A80"/>
    <w:rsid w:val="006E6D7B"/>
    <w:rsid w:val="006F0DC0"/>
    <w:rsid w:val="007047B5"/>
    <w:rsid w:val="00713CFB"/>
    <w:rsid w:val="007238E9"/>
    <w:rsid w:val="0072403F"/>
    <w:rsid w:val="00732151"/>
    <w:rsid w:val="00732E7F"/>
    <w:rsid w:val="00734C35"/>
    <w:rsid w:val="00735521"/>
    <w:rsid w:val="0073598C"/>
    <w:rsid w:val="00741A3D"/>
    <w:rsid w:val="00745769"/>
    <w:rsid w:val="00754139"/>
    <w:rsid w:val="00757F42"/>
    <w:rsid w:val="00760267"/>
    <w:rsid w:val="00766A39"/>
    <w:rsid w:val="0077405B"/>
    <w:rsid w:val="00787DB4"/>
    <w:rsid w:val="0079405D"/>
    <w:rsid w:val="007A0117"/>
    <w:rsid w:val="007B25B6"/>
    <w:rsid w:val="007C7B14"/>
    <w:rsid w:val="007D3F2A"/>
    <w:rsid w:val="007D57CD"/>
    <w:rsid w:val="007E12C8"/>
    <w:rsid w:val="007E14FD"/>
    <w:rsid w:val="007E2D5C"/>
    <w:rsid w:val="007E44B9"/>
    <w:rsid w:val="007F0448"/>
    <w:rsid w:val="007F31D9"/>
    <w:rsid w:val="007F3AFA"/>
    <w:rsid w:val="008055E2"/>
    <w:rsid w:val="00806697"/>
    <w:rsid w:val="00806BA1"/>
    <w:rsid w:val="008111AE"/>
    <w:rsid w:val="00815E45"/>
    <w:rsid w:val="00816B93"/>
    <w:rsid w:val="008208A0"/>
    <w:rsid w:val="0082232C"/>
    <w:rsid w:val="00823E90"/>
    <w:rsid w:val="00826667"/>
    <w:rsid w:val="008325B7"/>
    <w:rsid w:val="008328DE"/>
    <w:rsid w:val="0083428D"/>
    <w:rsid w:val="00841FDB"/>
    <w:rsid w:val="00854CD6"/>
    <w:rsid w:val="00860798"/>
    <w:rsid w:val="008730FB"/>
    <w:rsid w:val="00876593"/>
    <w:rsid w:val="008912CB"/>
    <w:rsid w:val="008A0624"/>
    <w:rsid w:val="008A505E"/>
    <w:rsid w:val="008A5C4A"/>
    <w:rsid w:val="008B7850"/>
    <w:rsid w:val="008D17AD"/>
    <w:rsid w:val="008E6E02"/>
    <w:rsid w:val="008F3EAB"/>
    <w:rsid w:val="0091437E"/>
    <w:rsid w:val="00916C0C"/>
    <w:rsid w:val="00924CFD"/>
    <w:rsid w:val="00933469"/>
    <w:rsid w:val="00940E74"/>
    <w:rsid w:val="0094397F"/>
    <w:rsid w:val="00951C49"/>
    <w:rsid w:val="00956278"/>
    <w:rsid w:val="00964BE8"/>
    <w:rsid w:val="009A3FD6"/>
    <w:rsid w:val="009C464D"/>
    <w:rsid w:val="009C5E87"/>
    <w:rsid w:val="009C6C06"/>
    <w:rsid w:val="009D1983"/>
    <w:rsid w:val="009D215B"/>
    <w:rsid w:val="009D3DA1"/>
    <w:rsid w:val="009D638D"/>
    <w:rsid w:val="009E3423"/>
    <w:rsid w:val="009E3486"/>
    <w:rsid w:val="009E5516"/>
    <w:rsid w:val="009F02B0"/>
    <w:rsid w:val="009F373A"/>
    <w:rsid w:val="009F40A8"/>
    <w:rsid w:val="009F7414"/>
    <w:rsid w:val="00A03D8D"/>
    <w:rsid w:val="00A04C1B"/>
    <w:rsid w:val="00A130E5"/>
    <w:rsid w:val="00A24CFB"/>
    <w:rsid w:val="00A31B52"/>
    <w:rsid w:val="00A31CF0"/>
    <w:rsid w:val="00A35936"/>
    <w:rsid w:val="00A4146D"/>
    <w:rsid w:val="00A42CD7"/>
    <w:rsid w:val="00A47E1C"/>
    <w:rsid w:val="00A5092C"/>
    <w:rsid w:val="00A5115C"/>
    <w:rsid w:val="00A5524F"/>
    <w:rsid w:val="00A55F35"/>
    <w:rsid w:val="00A577A3"/>
    <w:rsid w:val="00A57BF0"/>
    <w:rsid w:val="00A6114A"/>
    <w:rsid w:val="00A63D97"/>
    <w:rsid w:val="00A661C5"/>
    <w:rsid w:val="00A72B87"/>
    <w:rsid w:val="00A80281"/>
    <w:rsid w:val="00A84B34"/>
    <w:rsid w:val="00AA40DB"/>
    <w:rsid w:val="00AA4380"/>
    <w:rsid w:val="00AA5DFB"/>
    <w:rsid w:val="00AA606A"/>
    <w:rsid w:val="00AA65F3"/>
    <w:rsid w:val="00AB0613"/>
    <w:rsid w:val="00AB72F1"/>
    <w:rsid w:val="00AC43F0"/>
    <w:rsid w:val="00AC66CD"/>
    <w:rsid w:val="00AD3095"/>
    <w:rsid w:val="00AE3C5A"/>
    <w:rsid w:val="00AE3ECC"/>
    <w:rsid w:val="00AF043C"/>
    <w:rsid w:val="00AF4B3D"/>
    <w:rsid w:val="00AF5D0E"/>
    <w:rsid w:val="00B0438E"/>
    <w:rsid w:val="00B0618E"/>
    <w:rsid w:val="00B114C3"/>
    <w:rsid w:val="00B132F4"/>
    <w:rsid w:val="00B21CA2"/>
    <w:rsid w:val="00B24F85"/>
    <w:rsid w:val="00B25E0C"/>
    <w:rsid w:val="00B30045"/>
    <w:rsid w:val="00B37C00"/>
    <w:rsid w:val="00B507C1"/>
    <w:rsid w:val="00B652AE"/>
    <w:rsid w:val="00B6676C"/>
    <w:rsid w:val="00B73C74"/>
    <w:rsid w:val="00B74C33"/>
    <w:rsid w:val="00B909BE"/>
    <w:rsid w:val="00B93A2B"/>
    <w:rsid w:val="00B95D0F"/>
    <w:rsid w:val="00B96465"/>
    <w:rsid w:val="00B97A78"/>
    <w:rsid w:val="00B97B48"/>
    <w:rsid w:val="00BB1C13"/>
    <w:rsid w:val="00BB1FD8"/>
    <w:rsid w:val="00BB542C"/>
    <w:rsid w:val="00BC1E8B"/>
    <w:rsid w:val="00BC3554"/>
    <w:rsid w:val="00BD5361"/>
    <w:rsid w:val="00BE29CE"/>
    <w:rsid w:val="00BF05ED"/>
    <w:rsid w:val="00C03DBD"/>
    <w:rsid w:val="00C175AF"/>
    <w:rsid w:val="00C20D20"/>
    <w:rsid w:val="00C33F00"/>
    <w:rsid w:val="00C35B70"/>
    <w:rsid w:val="00C41DC5"/>
    <w:rsid w:val="00C60040"/>
    <w:rsid w:val="00C65AD4"/>
    <w:rsid w:val="00C65D79"/>
    <w:rsid w:val="00C74BF1"/>
    <w:rsid w:val="00C7553A"/>
    <w:rsid w:val="00C80822"/>
    <w:rsid w:val="00C824D7"/>
    <w:rsid w:val="00C83826"/>
    <w:rsid w:val="00C84545"/>
    <w:rsid w:val="00C845A3"/>
    <w:rsid w:val="00C8703C"/>
    <w:rsid w:val="00C95457"/>
    <w:rsid w:val="00C97223"/>
    <w:rsid w:val="00CA204D"/>
    <w:rsid w:val="00CB1700"/>
    <w:rsid w:val="00CB5814"/>
    <w:rsid w:val="00CC26A0"/>
    <w:rsid w:val="00CD42D2"/>
    <w:rsid w:val="00CE4BA1"/>
    <w:rsid w:val="00CF624E"/>
    <w:rsid w:val="00D05D2F"/>
    <w:rsid w:val="00D10632"/>
    <w:rsid w:val="00D121DC"/>
    <w:rsid w:val="00D12837"/>
    <w:rsid w:val="00D204F2"/>
    <w:rsid w:val="00D379BA"/>
    <w:rsid w:val="00D41D47"/>
    <w:rsid w:val="00D46DF0"/>
    <w:rsid w:val="00D61743"/>
    <w:rsid w:val="00D62417"/>
    <w:rsid w:val="00D70367"/>
    <w:rsid w:val="00D7461F"/>
    <w:rsid w:val="00D825B1"/>
    <w:rsid w:val="00D8272F"/>
    <w:rsid w:val="00D86B89"/>
    <w:rsid w:val="00D877C5"/>
    <w:rsid w:val="00DA168B"/>
    <w:rsid w:val="00DC0177"/>
    <w:rsid w:val="00DC1AD8"/>
    <w:rsid w:val="00DC2571"/>
    <w:rsid w:val="00DC351F"/>
    <w:rsid w:val="00DD06BC"/>
    <w:rsid w:val="00DF0D6B"/>
    <w:rsid w:val="00DF1F6B"/>
    <w:rsid w:val="00E0216F"/>
    <w:rsid w:val="00E0325C"/>
    <w:rsid w:val="00E10D25"/>
    <w:rsid w:val="00E14018"/>
    <w:rsid w:val="00E14315"/>
    <w:rsid w:val="00E3141F"/>
    <w:rsid w:val="00E32580"/>
    <w:rsid w:val="00E3776F"/>
    <w:rsid w:val="00E45F5A"/>
    <w:rsid w:val="00E47163"/>
    <w:rsid w:val="00E5351E"/>
    <w:rsid w:val="00E614D0"/>
    <w:rsid w:val="00E64631"/>
    <w:rsid w:val="00E751A7"/>
    <w:rsid w:val="00E83769"/>
    <w:rsid w:val="00E85A2D"/>
    <w:rsid w:val="00E95DD4"/>
    <w:rsid w:val="00EA2751"/>
    <w:rsid w:val="00EA4834"/>
    <w:rsid w:val="00EB3A1C"/>
    <w:rsid w:val="00EB431E"/>
    <w:rsid w:val="00EC6983"/>
    <w:rsid w:val="00EC79E4"/>
    <w:rsid w:val="00ED18DF"/>
    <w:rsid w:val="00ED1C95"/>
    <w:rsid w:val="00ED4ECB"/>
    <w:rsid w:val="00EF0DCF"/>
    <w:rsid w:val="00F03B99"/>
    <w:rsid w:val="00F050AB"/>
    <w:rsid w:val="00F10FB0"/>
    <w:rsid w:val="00F121E4"/>
    <w:rsid w:val="00F13068"/>
    <w:rsid w:val="00F1490B"/>
    <w:rsid w:val="00F16269"/>
    <w:rsid w:val="00F22AB4"/>
    <w:rsid w:val="00F23AF4"/>
    <w:rsid w:val="00F25F34"/>
    <w:rsid w:val="00F261AC"/>
    <w:rsid w:val="00F2652F"/>
    <w:rsid w:val="00F420BC"/>
    <w:rsid w:val="00F5367E"/>
    <w:rsid w:val="00F769EF"/>
    <w:rsid w:val="00F8575C"/>
    <w:rsid w:val="00F92D5F"/>
    <w:rsid w:val="00FA4E54"/>
    <w:rsid w:val="00FB04B6"/>
    <w:rsid w:val="00FD13E5"/>
    <w:rsid w:val="00FD1FE2"/>
    <w:rsid w:val="00FD45F8"/>
    <w:rsid w:val="00FD5498"/>
    <w:rsid w:val="00FE0C33"/>
    <w:rsid w:val="00FE4029"/>
    <w:rsid w:val="00FE51D1"/>
    <w:rsid w:val="00FF00E2"/>
    <w:rsid w:val="00FF150B"/>
    <w:rsid w:val="00FF4CD0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C8B1C843-D90F-4DB6-916E-11A32ABA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94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421</TotalTime>
  <Pages>4</Pages>
  <Words>1863</Words>
  <Characters>11335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253</cp:revision>
  <cp:lastPrinted>2016-03-02T01:13:00Z</cp:lastPrinted>
  <dcterms:created xsi:type="dcterms:W3CDTF">2023-05-02T20:15:00Z</dcterms:created>
  <dcterms:modified xsi:type="dcterms:W3CDTF">2023-12-13T13:33:00Z</dcterms:modified>
</cp:coreProperties>
</file>