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07B5303C" w14:textId="77777777" w:rsidR="00CB7598" w:rsidRDefault="00CB7598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</w:p>
    <w:p w14:paraId="6347EB76" w14:textId="27DA95E5" w:rsidR="00C33F00" w:rsidRPr="00054405" w:rsidRDefault="00612653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</w:rPr>
        <w:t>Determina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3C56C5">
        <w:rPr>
          <w:rFonts w:ascii="Garamond" w:hAnsi="Garamond" w:cs="Garamond"/>
          <w:b/>
          <w:bCs/>
          <w:sz w:val="28"/>
          <w:szCs w:val="28"/>
        </w:rPr>
        <w:t>41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4"/>
        <w:gridCol w:w="7943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47A4C696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Determina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4D6D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D6D52" w:rsidRPr="004D6D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Lenovo </w:t>
            </w:r>
            <w:proofErr w:type="spellStart"/>
            <w:r w:rsidR="004D6D52" w:rsidRPr="004D6D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IdeaPad</w:t>
            </w:r>
            <w:proofErr w:type="spellEnd"/>
            <w:r w:rsidR="004D6D52" w:rsidRPr="004D6D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Flex - 5i </w:t>
            </w:r>
            <w:proofErr w:type="spellStart"/>
            <w:r w:rsidR="004D6D52" w:rsidRPr="004D6D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Gen</w:t>
            </w:r>
            <w:proofErr w:type="spellEnd"/>
            <w:r w:rsidR="004D6D52" w:rsidRPr="004D6D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8 (16Intel</w:t>
            </w:r>
            <w:r w:rsidR="00662D7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)</w:t>
            </w:r>
            <w:r w:rsidR="0053071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662D7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 1 </w:t>
            </w:r>
            <w:r w:rsidR="003C14B0" w:rsidRPr="003C14B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Monitor Lenovo Q24i-20</w:t>
            </w:r>
            <w:r w:rsidR="0053071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B28F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e n. 1 </w:t>
            </w:r>
            <w:r w:rsidR="00CB28F8" w:rsidRPr="00CB28F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Lenovo Digital Pen 2</w:t>
            </w:r>
            <w:r w:rsidR="00CB28F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AC738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AC738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62D74" w:rsidRPr="00662D7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82Y1CTO1WWIT1</w:t>
            </w:r>
            <w:r w:rsidR="006B3AC0" w:rsidRPr="006B3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B3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3C14B0" w:rsidRPr="003C14B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66EEGAC3EU</w:t>
            </w:r>
            <w:r w:rsidR="006B3AC0" w:rsidRPr="006B3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B3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B28F8" w:rsidRPr="00CB28F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GX81J19850</w:t>
            </w:r>
            <w:r w:rsidR="00CB28F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CE711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Alberto De Bonis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5148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1.</w:t>
            </w:r>
            <w:r w:rsidR="00535D0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5148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75,79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3B6AF5" w:rsidRPr="003B6AF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B0850CDF94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1610E5A5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BC3F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Alberto De Bonis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9A65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9A65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lastRenderedPageBreak/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Procedure per l’affidamento dei contratti pubblici di 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026EF76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Prof.</w:t>
            </w:r>
            <w:r w:rsidR="005148E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Alberto De Bonis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47A73926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il bene di cui all’oggetto della citata richiesta risulta fornito da </w:t>
            </w:r>
            <w:r w:rsidR="00CC5A9B" w:rsidRP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GLOBAL EXPRESS S.R.L.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CC5A9B" w:rsidRP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CARLO CIPOLLA,34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CC5A9B" w:rsidRP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00100 ROMA 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CC5A9B" w:rsidRP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CC5A9B" w:rsidRP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12329431006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CC5A9B" w:rsidRP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IT12329431006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7F83FCA3" w14:textId="77777777" w:rsidR="003D3B1F" w:rsidRDefault="00995836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9958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000024_ALTRI_DR_3429_FRA_lineaB_SARNO_DE_BONIS</w:t>
            </w:r>
          </w:p>
          <w:p w14:paraId="2F9300BD" w14:textId="74FA37AB" w:rsidR="00703FBE" w:rsidRPr="00AA1888" w:rsidRDefault="00703FB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7A333D1C" w:rsidR="0051646E" w:rsidRPr="00054405" w:rsidRDefault="00612653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 A CONTRARRE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6BA99520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0427B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0427BD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0427B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0427BD" w:rsidRPr="004D6D5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Lenovo </w:t>
      </w:r>
      <w:proofErr w:type="spellStart"/>
      <w:r w:rsidR="000427BD" w:rsidRPr="004D6D52">
        <w:rPr>
          <w:rFonts w:ascii="Calibri" w:eastAsia="Calibri" w:hAnsi="Calibri" w:cs="Calibri"/>
          <w:b/>
          <w:bCs/>
          <w:sz w:val="20"/>
          <w:szCs w:val="20"/>
          <w:lang w:eastAsia="en-US"/>
        </w:rPr>
        <w:t>IdeaPad</w:t>
      </w:r>
      <w:proofErr w:type="spellEnd"/>
      <w:r w:rsidR="000427BD" w:rsidRPr="004D6D5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Flex - 5i </w:t>
      </w:r>
      <w:proofErr w:type="spellStart"/>
      <w:r w:rsidR="000427BD" w:rsidRPr="004D6D52">
        <w:rPr>
          <w:rFonts w:ascii="Calibri" w:eastAsia="Calibri" w:hAnsi="Calibri" w:cs="Calibri"/>
          <w:b/>
          <w:bCs/>
          <w:sz w:val="20"/>
          <w:szCs w:val="20"/>
          <w:lang w:eastAsia="en-US"/>
        </w:rPr>
        <w:t>Gen</w:t>
      </w:r>
      <w:proofErr w:type="spellEnd"/>
      <w:r w:rsidR="000427BD" w:rsidRPr="004D6D5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8 (16Intel</w:t>
      </w:r>
      <w:r w:rsidR="000427B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), n. 1 </w:t>
      </w:r>
      <w:r w:rsidR="000427BD" w:rsidRPr="003C14B0">
        <w:rPr>
          <w:rFonts w:ascii="Calibri" w:eastAsia="Calibri" w:hAnsi="Calibri" w:cs="Calibri"/>
          <w:b/>
          <w:bCs/>
          <w:sz w:val="20"/>
          <w:szCs w:val="20"/>
          <w:lang w:eastAsia="en-US"/>
        </w:rPr>
        <w:t>Monitor Lenovo Q24i-20</w:t>
      </w:r>
      <w:r w:rsidR="000427B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e n. 1 </w:t>
      </w:r>
      <w:r w:rsidR="000427BD" w:rsidRPr="00CB28F8">
        <w:rPr>
          <w:rFonts w:ascii="Calibri" w:eastAsia="Calibri" w:hAnsi="Calibri" w:cs="Calibri"/>
          <w:b/>
          <w:bCs/>
          <w:sz w:val="20"/>
          <w:szCs w:val="20"/>
          <w:lang w:eastAsia="en-US"/>
        </w:rPr>
        <w:t>Lenovo Digital Pen 2</w:t>
      </w:r>
      <w:r w:rsidR="000427B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0427B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- codic</w:t>
      </w:r>
      <w:r w:rsidR="000427BD">
        <w:rPr>
          <w:rFonts w:ascii="Calibri" w:eastAsia="Calibri" w:hAnsi="Calibri" w:cs="Calibri"/>
          <w:b/>
          <w:bCs/>
          <w:sz w:val="20"/>
          <w:szCs w:val="20"/>
          <w:lang w:eastAsia="en-US"/>
        </w:rPr>
        <w:t>i</w:t>
      </w:r>
      <w:r w:rsidR="000427B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0427BD">
        <w:rPr>
          <w:rFonts w:ascii="Calibri" w:eastAsia="Calibri" w:hAnsi="Calibri" w:cs="Calibri"/>
          <w:b/>
          <w:bCs/>
          <w:sz w:val="20"/>
          <w:szCs w:val="20"/>
          <w:lang w:eastAsia="en-US"/>
        </w:rPr>
        <w:t>i</w:t>
      </w:r>
      <w:r w:rsidR="000427B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0427BD" w:rsidRPr="00662D74">
        <w:rPr>
          <w:rFonts w:ascii="Calibri" w:eastAsia="Calibri" w:hAnsi="Calibri" w:cs="Calibri"/>
          <w:b/>
          <w:bCs/>
          <w:sz w:val="20"/>
          <w:szCs w:val="20"/>
          <w:lang w:eastAsia="en-US"/>
        </w:rPr>
        <w:t>82Y1CTO1WWIT1</w:t>
      </w:r>
      <w:r w:rsidR="000427BD" w:rsidRPr="006B3AC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0427B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0427BD" w:rsidRPr="003C14B0">
        <w:rPr>
          <w:rFonts w:ascii="Calibri" w:eastAsia="Calibri" w:hAnsi="Calibri" w:cs="Calibri"/>
          <w:b/>
          <w:bCs/>
          <w:sz w:val="20"/>
          <w:szCs w:val="20"/>
          <w:lang w:eastAsia="en-US"/>
        </w:rPr>
        <w:t>66EEGAC3EU</w:t>
      </w:r>
      <w:r w:rsidR="000427BD" w:rsidRPr="006B3AC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0427B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0427BD" w:rsidRPr="00CB28F8">
        <w:rPr>
          <w:rFonts w:ascii="Calibri" w:eastAsia="Calibri" w:hAnsi="Calibri" w:cs="Calibri"/>
          <w:b/>
          <w:bCs/>
          <w:sz w:val="20"/>
          <w:szCs w:val="20"/>
          <w:lang w:eastAsia="en-US"/>
        </w:rPr>
        <w:t>GX81J19850</w:t>
      </w:r>
      <w:r w:rsidR="000427B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</w:t>
      </w:r>
      <w:r w:rsidR="000427B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0427BD">
        <w:rPr>
          <w:rFonts w:ascii="Calibri" w:eastAsia="Calibri" w:hAnsi="Calibri" w:cs="Calibri"/>
          <w:b/>
          <w:bCs/>
          <w:sz w:val="20"/>
          <w:szCs w:val="20"/>
          <w:lang w:eastAsia="en-US"/>
        </w:rPr>
        <w:t>Prof. Alberto De Bonis</w:t>
      </w:r>
      <w:r w:rsidR="000427BD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0427BD" w:rsidRPr="00CC5A9B">
        <w:rPr>
          <w:rFonts w:ascii="Calibri" w:eastAsia="Calibri" w:hAnsi="Calibri" w:cs="Calibri"/>
          <w:b/>
          <w:bCs/>
          <w:sz w:val="20"/>
          <w:szCs w:val="20"/>
          <w:lang w:eastAsia="en-US"/>
        </w:rPr>
        <w:t>GLOBAL EXPRESS S.R.L.</w:t>
      </w:r>
      <w:r w:rsidR="000427B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0427BD" w:rsidRPr="00CC5A9B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CARLO CIPOLLA,34</w:t>
      </w:r>
      <w:r w:rsidR="000427B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0427BD" w:rsidRPr="00CC5A9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00100 ROMA </w:t>
      </w:r>
      <w:r w:rsidR="000427BD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0427BD" w:rsidRPr="00CC5A9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ITALIA</w:t>
      </w:r>
      <w:r w:rsidR="000427B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0427BD" w:rsidRPr="00CC5A9B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12329431006</w:t>
      </w:r>
      <w:r w:rsidR="000427B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0427BD" w:rsidRPr="00CC5A9B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IT12329431006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0427BD">
        <w:rPr>
          <w:rFonts w:ascii="Calibri" w:eastAsia="Calibri" w:hAnsi="Calibri" w:cs="Calibri"/>
          <w:bCs/>
          <w:sz w:val="20"/>
          <w:szCs w:val="20"/>
          <w:lang w:eastAsia="en-US"/>
        </w:rPr>
        <w:t>1.434,46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0427BD">
        <w:rPr>
          <w:rFonts w:ascii="Calibri" w:eastAsia="Calibri" w:hAnsi="Calibri" w:cs="Calibri"/>
          <w:bCs/>
          <w:sz w:val="20"/>
          <w:szCs w:val="20"/>
          <w:lang w:eastAsia="en-US"/>
        </w:rPr>
        <w:t>1.175,79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0427BD">
        <w:rPr>
          <w:rFonts w:ascii="Calibri" w:eastAsia="Calibri" w:hAnsi="Calibri" w:cs="Calibri"/>
          <w:bCs/>
          <w:sz w:val="20"/>
          <w:szCs w:val="20"/>
          <w:lang w:eastAsia="en-US"/>
        </w:rPr>
        <w:t>258,67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7A8CA324" w:rsidR="0051646E" w:rsidRPr="0003674B" w:rsidRDefault="0051646E" w:rsidP="002530D2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995836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65214</w:t>
      </w:r>
      <w:r w:rsidR="006860B2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703FBE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000024_ALTRI_DR_3429_FRA_lineaB_SARNO_DE_BONIS </w:t>
      </w:r>
      <w:r w:rsidR="00BC3FC3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="00703FBE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FRA 2022 Linea B SARNO prof Alberto De Bonis</w:t>
      </w:r>
      <w:r w:rsidR="00BC3FC3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03674B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03674B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FA0E68C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4EDA67B0" w14:textId="77777777" w:rsidR="00CB7598" w:rsidRPr="00054405" w:rsidRDefault="00CB7598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7F1D2B61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03674B">
        <w:rPr>
          <w:rFonts w:ascii="Garamond" w:hAnsi="Garamond" w:cs="Garamond"/>
          <w:b/>
          <w:bCs/>
          <w:sz w:val="23"/>
          <w:szCs w:val="23"/>
        </w:rPr>
        <w:t>41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631DBC8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CB759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n.</w:t>
            </w:r>
            <w:r w:rsidR="00CB759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CB759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B7598" w:rsidRPr="004D6D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Lenovo </w:t>
            </w:r>
            <w:proofErr w:type="spellStart"/>
            <w:r w:rsidR="00CB7598" w:rsidRPr="004D6D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IdeaPad</w:t>
            </w:r>
            <w:proofErr w:type="spellEnd"/>
            <w:r w:rsidR="00CB7598" w:rsidRPr="004D6D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Flex - 5i </w:t>
            </w:r>
            <w:proofErr w:type="spellStart"/>
            <w:r w:rsidR="00CB7598" w:rsidRPr="004D6D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Gen</w:t>
            </w:r>
            <w:proofErr w:type="spellEnd"/>
            <w:r w:rsidR="00CB7598" w:rsidRPr="004D6D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8 (16Intel</w:t>
            </w:r>
            <w:r w:rsidR="00CB759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), n. 1 </w:t>
            </w:r>
            <w:r w:rsidR="00CB7598" w:rsidRPr="003C14B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Monitor Lenovo Q24i-20</w:t>
            </w:r>
            <w:r w:rsidR="00CB759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e n. 1 </w:t>
            </w:r>
            <w:r w:rsidR="00CB7598" w:rsidRPr="00CB28F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Lenovo Digital Pen 2</w:t>
            </w:r>
            <w:r w:rsidR="00CB759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B759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 codic</w:t>
            </w:r>
            <w:r w:rsidR="00CB759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B759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CB759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B759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B7598" w:rsidRPr="00662D7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82Y1CTO1WWIT1</w:t>
            </w:r>
            <w:r w:rsidR="00CB7598" w:rsidRPr="006B3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B759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B7598" w:rsidRPr="003C14B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66EEGAC3EU</w:t>
            </w:r>
            <w:r w:rsidR="00CB7598" w:rsidRPr="006B3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B759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B7598" w:rsidRPr="00CB28F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GX81J19850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di non aver svolto, nei </w:t>
      </w:r>
      <w:proofErr w:type="gramStart"/>
      <w:r w:rsidRPr="00950058">
        <w:rPr>
          <w:sz w:val="18"/>
          <w:szCs w:val="18"/>
        </w:rPr>
        <w:t>5</w:t>
      </w:r>
      <w:proofErr w:type="gramEnd"/>
      <w:r w:rsidRPr="00950058">
        <w:rPr>
          <w:sz w:val="18"/>
          <w:szCs w:val="18"/>
        </w:rPr>
        <w:t xml:space="preserve">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trovarsi nelle ipotesi di cui all’art. </w:t>
      </w:r>
      <w:proofErr w:type="gramStart"/>
      <w:r w:rsidRPr="00950058">
        <w:rPr>
          <w:sz w:val="18"/>
          <w:szCs w:val="18"/>
        </w:rPr>
        <w:t>16  del</w:t>
      </w:r>
      <w:proofErr w:type="gramEnd"/>
      <w:r w:rsidRPr="00950058">
        <w:rPr>
          <w:sz w:val="18"/>
          <w:szCs w:val="18"/>
        </w:rPr>
        <w:t xml:space="preserve">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essere stato condannato, neppure con sentenza non passata in giudicato, per i reati previsti nel capo I del titolo II del libro secondo del </w:t>
      </w:r>
      <w:proofErr w:type="gramStart"/>
      <w:r w:rsidRPr="00950058">
        <w:rPr>
          <w:sz w:val="18"/>
          <w:szCs w:val="18"/>
        </w:rPr>
        <w:t>codice penale</w:t>
      </w:r>
      <w:proofErr w:type="gramEnd"/>
      <w:r w:rsidRPr="00950058">
        <w:rPr>
          <w:sz w:val="18"/>
          <w:szCs w:val="18"/>
        </w:rPr>
        <w:t xml:space="preserve">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</w:t>
      </w:r>
      <w:proofErr w:type="gramStart"/>
      <w:r w:rsidRPr="00054405">
        <w:rPr>
          <w:sz w:val="18"/>
          <w:szCs w:val="18"/>
        </w:rPr>
        <w:t>email</w:t>
      </w:r>
      <w:proofErr w:type="gramEnd"/>
      <w:r w:rsidRPr="00054405">
        <w:rPr>
          <w:sz w:val="18"/>
          <w:szCs w:val="18"/>
        </w:rPr>
        <w:t xml:space="preserve">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5AA81AA8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70DB0ACE" w:rsidR="00CD6B49" w:rsidRPr="00054405" w:rsidRDefault="00CD6B49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</w:t>
            </w:r>
            <w:r>
              <w:rPr>
                <w:b/>
                <w:i/>
                <w:sz w:val="18"/>
                <w:szCs w:val="18"/>
              </w:rPr>
              <w:t>23/02/2024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A5043B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7E45F" w14:textId="77777777" w:rsidR="00B35626" w:rsidRDefault="00B35626" w:rsidP="0058391E">
      <w:r>
        <w:separator/>
      </w:r>
    </w:p>
  </w:endnote>
  <w:endnote w:type="continuationSeparator" w:id="0">
    <w:p w14:paraId="4FDA5DC3" w14:textId="77777777" w:rsidR="00B35626" w:rsidRDefault="00B35626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 xml:space="preserve">4. Le stazioni appaltanti adottano misure adeguate </w:t>
      </w:r>
      <w:proofErr w:type="gramStart"/>
      <w:r w:rsidRPr="00950058">
        <w:rPr>
          <w:rFonts w:ascii="Calibri" w:hAnsi="Calibri" w:cs="Calibri"/>
          <w:sz w:val="16"/>
          <w:szCs w:val="16"/>
        </w:rPr>
        <w:t>per</w:t>
      </w:r>
      <w:proofErr w:type="gramEnd"/>
      <w:r w:rsidRPr="00950058">
        <w:rPr>
          <w:rFonts w:ascii="Calibri" w:hAnsi="Calibri" w:cs="Calibri"/>
          <w:sz w:val="16"/>
          <w:szCs w:val="16"/>
        </w:rPr>
        <w:t xml:space="preserve">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CDDB7" w14:textId="77777777" w:rsidR="00B35626" w:rsidRDefault="00B35626" w:rsidP="0058391E">
      <w:r>
        <w:separator/>
      </w:r>
    </w:p>
  </w:footnote>
  <w:footnote w:type="continuationSeparator" w:id="0">
    <w:p w14:paraId="7B812F91" w14:textId="77777777" w:rsidR="00B35626" w:rsidRDefault="00B35626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3674B"/>
    <w:rsid w:val="000427BD"/>
    <w:rsid w:val="000530F0"/>
    <w:rsid w:val="00053CAB"/>
    <w:rsid w:val="00054405"/>
    <w:rsid w:val="00074E23"/>
    <w:rsid w:val="000A0819"/>
    <w:rsid w:val="000A6A89"/>
    <w:rsid w:val="000B237F"/>
    <w:rsid w:val="000B39AE"/>
    <w:rsid w:val="000C5307"/>
    <w:rsid w:val="000D37A6"/>
    <w:rsid w:val="000E029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D46EB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308"/>
    <w:rsid w:val="002A3E9D"/>
    <w:rsid w:val="002A4FB0"/>
    <w:rsid w:val="002A7167"/>
    <w:rsid w:val="002B43C2"/>
    <w:rsid w:val="002C3417"/>
    <w:rsid w:val="002C4989"/>
    <w:rsid w:val="002C6AA8"/>
    <w:rsid w:val="002F7C6B"/>
    <w:rsid w:val="00307924"/>
    <w:rsid w:val="0031423A"/>
    <w:rsid w:val="00324DF1"/>
    <w:rsid w:val="0032795B"/>
    <w:rsid w:val="00335F8A"/>
    <w:rsid w:val="00352AA8"/>
    <w:rsid w:val="00364036"/>
    <w:rsid w:val="003868C8"/>
    <w:rsid w:val="00391E59"/>
    <w:rsid w:val="00396E71"/>
    <w:rsid w:val="00397DB1"/>
    <w:rsid w:val="003A1822"/>
    <w:rsid w:val="003A4B17"/>
    <w:rsid w:val="003B4EBB"/>
    <w:rsid w:val="003B6AF5"/>
    <w:rsid w:val="003C14B0"/>
    <w:rsid w:val="003C289D"/>
    <w:rsid w:val="003C56C5"/>
    <w:rsid w:val="003D3B1F"/>
    <w:rsid w:val="003D7ACD"/>
    <w:rsid w:val="003E0A14"/>
    <w:rsid w:val="003E4326"/>
    <w:rsid w:val="003F0869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48E4"/>
    <w:rsid w:val="0051646E"/>
    <w:rsid w:val="00521AE1"/>
    <w:rsid w:val="005249D6"/>
    <w:rsid w:val="00530717"/>
    <w:rsid w:val="00535D0F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611CA6"/>
    <w:rsid w:val="00611D5D"/>
    <w:rsid w:val="00612653"/>
    <w:rsid w:val="00612D2E"/>
    <w:rsid w:val="00614451"/>
    <w:rsid w:val="00623692"/>
    <w:rsid w:val="00646EFA"/>
    <w:rsid w:val="006548BD"/>
    <w:rsid w:val="00662D74"/>
    <w:rsid w:val="006640FE"/>
    <w:rsid w:val="00672B1F"/>
    <w:rsid w:val="006860B2"/>
    <w:rsid w:val="00692046"/>
    <w:rsid w:val="006960FF"/>
    <w:rsid w:val="006A70A5"/>
    <w:rsid w:val="006B3AC0"/>
    <w:rsid w:val="006C7AB6"/>
    <w:rsid w:val="006D176A"/>
    <w:rsid w:val="006E2A80"/>
    <w:rsid w:val="006E511B"/>
    <w:rsid w:val="006F0DC0"/>
    <w:rsid w:val="00703FBE"/>
    <w:rsid w:val="0070423C"/>
    <w:rsid w:val="00713CFB"/>
    <w:rsid w:val="00716F4C"/>
    <w:rsid w:val="0074052C"/>
    <w:rsid w:val="0074139A"/>
    <w:rsid w:val="00741A3D"/>
    <w:rsid w:val="00757F42"/>
    <w:rsid w:val="0077405B"/>
    <w:rsid w:val="0078436D"/>
    <w:rsid w:val="00786944"/>
    <w:rsid w:val="00787DB4"/>
    <w:rsid w:val="0079405D"/>
    <w:rsid w:val="00794213"/>
    <w:rsid w:val="007A0117"/>
    <w:rsid w:val="007A6AB7"/>
    <w:rsid w:val="007E12C8"/>
    <w:rsid w:val="007E2D5C"/>
    <w:rsid w:val="007E576C"/>
    <w:rsid w:val="007F31D9"/>
    <w:rsid w:val="007F5E82"/>
    <w:rsid w:val="008035BF"/>
    <w:rsid w:val="008055E2"/>
    <w:rsid w:val="00810619"/>
    <w:rsid w:val="008111AE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A5DA5"/>
    <w:rsid w:val="008B1004"/>
    <w:rsid w:val="008B7850"/>
    <w:rsid w:val="008B7AD0"/>
    <w:rsid w:val="008C3772"/>
    <w:rsid w:val="008D17AD"/>
    <w:rsid w:val="008E78AB"/>
    <w:rsid w:val="008F0199"/>
    <w:rsid w:val="0091437E"/>
    <w:rsid w:val="00931F6E"/>
    <w:rsid w:val="00951C49"/>
    <w:rsid w:val="00957C5C"/>
    <w:rsid w:val="0096317E"/>
    <w:rsid w:val="0097394E"/>
    <w:rsid w:val="00975755"/>
    <w:rsid w:val="00995836"/>
    <w:rsid w:val="00996AB6"/>
    <w:rsid w:val="009A6513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043B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3259"/>
    <w:rsid w:val="00AC38A2"/>
    <w:rsid w:val="00AC66CD"/>
    <w:rsid w:val="00AC6E61"/>
    <w:rsid w:val="00AC738A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5626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3FC3"/>
    <w:rsid w:val="00BC60DF"/>
    <w:rsid w:val="00BD3F80"/>
    <w:rsid w:val="00BD5361"/>
    <w:rsid w:val="00BE0CA4"/>
    <w:rsid w:val="00BE4395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B28F8"/>
    <w:rsid w:val="00CB7598"/>
    <w:rsid w:val="00CC26A0"/>
    <w:rsid w:val="00CC46F8"/>
    <w:rsid w:val="00CC5A9B"/>
    <w:rsid w:val="00CD2862"/>
    <w:rsid w:val="00CD6B49"/>
    <w:rsid w:val="00CE349F"/>
    <w:rsid w:val="00CE7110"/>
    <w:rsid w:val="00CF3497"/>
    <w:rsid w:val="00CF4A03"/>
    <w:rsid w:val="00CF624E"/>
    <w:rsid w:val="00D00B80"/>
    <w:rsid w:val="00D10632"/>
    <w:rsid w:val="00D121DC"/>
    <w:rsid w:val="00D12837"/>
    <w:rsid w:val="00D35023"/>
    <w:rsid w:val="00D60D5A"/>
    <w:rsid w:val="00D70367"/>
    <w:rsid w:val="00D8272F"/>
    <w:rsid w:val="00D869AD"/>
    <w:rsid w:val="00D86B89"/>
    <w:rsid w:val="00D877C5"/>
    <w:rsid w:val="00D96136"/>
    <w:rsid w:val="00DA0D58"/>
    <w:rsid w:val="00DC351F"/>
    <w:rsid w:val="00DF1F6B"/>
    <w:rsid w:val="00E009F3"/>
    <w:rsid w:val="00E0216F"/>
    <w:rsid w:val="00E0325C"/>
    <w:rsid w:val="00E5351E"/>
    <w:rsid w:val="00E614D0"/>
    <w:rsid w:val="00E65E98"/>
    <w:rsid w:val="00E83769"/>
    <w:rsid w:val="00E85A2D"/>
    <w:rsid w:val="00E87F23"/>
    <w:rsid w:val="00E932B8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07A6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365</TotalTime>
  <Pages>5</Pages>
  <Words>1745</Words>
  <Characters>9949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150</cp:revision>
  <cp:lastPrinted>2024-05-28T09:49:00Z</cp:lastPrinted>
  <dcterms:created xsi:type="dcterms:W3CDTF">2023-05-02T07:56:00Z</dcterms:created>
  <dcterms:modified xsi:type="dcterms:W3CDTF">2024-05-28T09:49:00Z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